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Yajing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23"/>
        <w:gridCol w:w="906"/>
        <w:gridCol w:w="775"/>
        <w:gridCol w:w="602"/>
        <w:gridCol w:w="351"/>
        <w:gridCol w:w="810"/>
        <w:gridCol w:w="459"/>
        <w:gridCol w:w="675"/>
        <w:gridCol w:w="1172"/>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36,555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w:t>
            </w:r>
            <w:r>
              <w:rPr>
                <w:rFonts w:ascii="Times;serif" w:hAnsi="Times;serif"/>
                <w:color w:val="008000"/>
                <w:position w:val="7"/>
                <w:sz w:val="16"/>
                <w:sz w:val="20"/>
                <w:shd w:fill="FFFFFF" w:val="clear"/>
              </w:rPr>
              <w:t>(4)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36,240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7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1026"/>
        <w:gridCol w:w="636"/>
        <w:gridCol w:w="801"/>
        <w:gridCol w:w="936"/>
        <w:gridCol w:w="831"/>
        <w:gridCol w:w="846"/>
      </w:tblGrid>
      <w:tr>
        <w:trPr>
          <w:tblHeader w:val="true"/>
        </w:trPr>
        <w:tc>
          <w:tcPr>
            <w:tcW w:w="119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ADSs acquired upon vesting of Restricted Share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ADSs were withheld to cover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in equal annual installments over five years beginning on 10/01/2022, the first anniversary of the date of grant. Vested shares were delivered to the reporting person following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694"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3739</Characters>
  <CharactersWithSpaces>4343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