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4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Edmondson Frazor Titus III</w:t>
              </w:r>
            </w:hyperlink>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Zai Lab Ltd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ZLAB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420" w:type="dxa"/>
            <w:vAlign w:val="bottom"/>
            <w:gridSpan w:val="3"/>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Borders>
              <w:top w:val="single" w:sz="8" w:color="0000EE"/>
            </w:tcBorders>
          </w:tcPr>
          <w:p>
            <w:pPr>
              <w:spacing w:after="0"/>
              <w:rPr>
                <w:sz w:val="5"/>
                <w:szCs w:val="5"/>
                <w:color w:val="auto"/>
              </w:rPr>
            </w:pPr>
          </w:p>
        </w:tc>
        <w:tc>
          <w:tcPr>
            <w:tcW w:w="2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60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600" w:type="dxa"/>
            <w:vAlign w:val="bottom"/>
            <w:tcBorders>
              <w:top w:val="single" w:sz="8" w:color="EEEEEE"/>
            </w:tcBorders>
          </w:tcPr>
          <w:p>
            <w:pPr>
              <w:spacing w:after="0"/>
              <w:rPr>
                <w:sz w:val="4"/>
                <w:szCs w:val="4"/>
                <w:color w:val="auto"/>
              </w:rPr>
            </w:pPr>
          </w:p>
        </w:tc>
        <w:tc>
          <w:tcPr>
            <w:tcW w:w="40" w:type="dxa"/>
            <w:vAlign w:val="bottom"/>
            <w:tcBorders>
              <w:top w:val="single" w:sz="8" w:color="EEEEEE"/>
            </w:tcBorders>
          </w:tcPr>
          <w:p>
            <w:pPr>
              <w:spacing w:after="0"/>
              <w:rPr>
                <w:sz w:val="4"/>
                <w:szCs w:val="4"/>
                <w:color w:val="auto"/>
              </w:rPr>
            </w:pPr>
          </w:p>
        </w:tc>
        <w:tc>
          <w:tcPr>
            <w:tcW w:w="122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27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6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ZAI LAB LIMITED</w:t>
            </w:r>
          </w:p>
        </w:tc>
        <w:tc>
          <w:tcPr>
            <w:tcW w:w="1220" w:type="dxa"/>
            <w:vAlign w:val="bottom"/>
          </w:tcPr>
          <w:p>
            <w:pPr>
              <w:spacing w:after="0"/>
              <w:rPr>
                <w:sz w:val="19"/>
                <w:szCs w:val="19"/>
                <w:color w:val="auto"/>
              </w:rPr>
            </w:pPr>
          </w:p>
        </w:tc>
        <w:tc>
          <w:tcPr>
            <w:tcW w:w="11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04/06/2026</w:t>
            </w: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314 MAIN STREET, 4TH FLOOR, SUITE 100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02142</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American Depositary Shares</w:t>
            </w:r>
            <w:r>
              <w:rPr>
                <w:rFonts w:ascii="Times New Roman" w:cs="Times New Roman" w:eastAsia="Times New Roman" w:hAnsi="Times New Roman"/>
                <w:sz w:val="22"/>
                <w:szCs w:val="22"/>
                <w:color w:val="008000"/>
                <w:vertAlign w:val="superscript"/>
              </w:rPr>
              <w:t>(1)</w:t>
            </w: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04/06/2026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1,224</w:t>
            </w:r>
            <w:r>
              <w:rPr>
                <w:rFonts w:ascii="Times New Roman" w:cs="Times New Roman" w:eastAsia="Times New Roman" w:hAnsi="Times New Roman"/>
                <w:sz w:val="22"/>
                <w:szCs w:val="22"/>
                <w:color w:val="008000"/>
                <w:vertAlign w:val="superscript"/>
              </w:rPr>
              <w:t>(2)</w:t>
            </w:r>
          </w:p>
        </w:tc>
        <w:tc>
          <w:tcPr>
            <w:tcW w:w="4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20.448</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23,366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American Depositary Share ("ADS") represents ten Ordinary Shares of the issuer. Our ADSs and Ordinary Shares are fully fungible. For purposes of this Form 4, we are reporting this in terms of ADSs.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ADSs were sold automatically to cover taxes upon vesting of Restricted Share Units.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Bruce Blefeld, Attorney-in- </w:t>
      </w:r>
      <w:r>
        <w:rPr>
          <w:rFonts w:ascii="Times New Roman" w:cs="Times New Roman" w:eastAsia="Times New Roman" w:hAnsi="Times New Roman"/>
          <w:sz w:val="34"/>
          <w:szCs w:val="34"/>
          <w:color w:val="0000FF"/>
          <w:vertAlign w:val="subscript"/>
        </w:rPr>
        <w:t>04/08/2026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35780" TargetMode="External"/><Relationship Id="rId14" Type="http://schemas.openxmlformats.org/officeDocument/2006/relationships/hyperlink" Target="http://www.sec.gov/cgi-bin/browse-edgar?action=getcompany&amp;CIK=00017042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2026-04-08T18:35:47Z</dcterms:created>
  <dcterms:modified xsi:type="dcterms:W3CDTF">2026-04-08T18:35:47Z</dcterms:modified>
</cp:coreProperties>
</file>