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504825</wp:posOffset>
            </wp:positionH>
            <wp:positionV relativeFrom="page">
              <wp:posOffset>686435</wp:posOffset>
            </wp:positionV>
            <wp:extent cx="68992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9275" cy="8255"/>
                    </a:xfrm>
                    <a:prstGeom prst="rect">
                      <a:avLst/>
                    </a:prstGeom>
                    <a:noFill/>
                  </pic:spPr>
                </pic:pic>
              </a:graphicData>
            </a:graphic>
          </wp:anchor>
        </w:drawing>
        <w:drawing>
          <wp:anchor simplePos="0" relativeHeight="251657728" behindDoc="1" locked="0" layoutInCell="0" allowOverlap="1">
            <wp:simplePos x="0" y="0"/>
            <wp:positionH relativeFrom="page">
              <wp:posOffset>504825</wp:posOffset>
            </wp:positionH>
            <wp:positionV relativeFrom="page">
              <wp:posOffset>711200</wp:posOffset>
            </wp:positionV>
            <wp:extent cx="68992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9275" cy="8255"/>
                    </a:xfrm>
                    <a:prstGeom prst="rect">
                      <a:avLst/>
                    </a:prstGeom>
                    <a:noFill/>
                  </pic:spPr>
                </pic:pic>
              </a:graphicData>
            </a:graphic>
          </wp:anchor>
        </w:drawing>
      </w: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3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4"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7"/>
          <w:szCs w:val="17"/>
          <w:color w:val="auto"/>
        </w:rPr>
        <w:t>____________________</w:t>
      </w:r>
    </w:p>
    <w:p>
      <w:pPr>
        <w:spacing w:after="0" w:line="203" w:lineRule="exact"/>
        <w:rPr>
          <w:sz w:val="24"/>
          <w:szCs w:val="24"/>
          <w:color w:val="auto"/>
        </w:rPr>
      </w:pPr>
    </w:p>
    <w:p>
      <w:pPr>
        <w:jc w:val="center"/>
        <w:ind w:left="460"/>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34"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7"/>
          <w:szCs w:val="17"/>
          <w:color w:val="auto"/>
        </w:rPr>
        <w:t>____________________</w:t>
      </w:r>
    </w:p>
    <w:p>
      <w:pPr>
        <w:spacing w:after="0" w:line="203"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55" w:lineRule="exact"/>
        <w:rPr>
          <w:sz w:val="24"/>
          <w:szCs w:val="24"/>
          <w:color w:val="auto"/>
        </w:rPr>
      </w:pPr>
    </w:p>
    <w:p>
      <w:pPr>
        <w:ind w:left="940" w:hanging="448"/>
        <w:spacing w:after="0"/>
        <w:tabs>
          <w:tab w:leader="none" w:pos="940" w:val="left"/>
        </w:tabs>
        <w:numPr>
          <w:ilvl w:val="0"/>
          <w:numId w:val="1"/>
        </w:numPr>
        <w:rPr>
          <w:rFonts w:ascii="Wingdings" w:cs="Wingdings" w:eastAsia="Wingdings" w:hAnsi="Wingdings"/>
          <w:sz w:val="20"/>
          <w:szCs w:val="20"/>
          <w:b w:val="1"/>
          <w:bCs w:val="1"/>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w:t>
      </w:r>
    </w:p>
    <w:p>
      <w:pPr>
        <w:spacing w:after="0" w:line="330" w:lineRule="exact"/>
        <w:rPr>
          <w:sz w:val="24"/>
          <w:szCs w:val="24"/>
          <w:color w:val="auto"/>
        </w:rPr>
      </w:pPr>
    </w:p>
    <w:p>
      <w:pPr>
        <w:jc w:val="center"/>
        <w:ind w:left="460"/>
        <w:spacing w:after="0"/>
        <w:rPr>
          <w:sz w:val="20"/>
          <w:szCs w:val="20"/>
          <w:color w:val="auto"/>
        </w:rPr>
      </w:pPr>
      <w:r>
        <w:rPr>
          <w:rFonts w:ascii="Times New Roman" w:cs="Times New Roman" w:eastAsia="Times New Roman" w:hAnsi="Times New Roman"/>
          <w:sz w:val="17"/>
          <w:szCs w:val="17"/>
          <w:b w:val="1"/>
          <w:bCs w:val="1"/>
          <w:color w:val="auto"/>
        </w:rPr>
        <w:t>For the quarterly period ended March 31, 2026</w:t>
      </w:r>
    </w:p>
    <w:p>
      <w:pPr>
        <w:spacing w:after="0" w:line="223" w:lineRule="exact"/>
        <w:rPr>
          <w:sz w:val="24"/>
          <w:szCs w:val="24"/>
          <w:color w:val="auto"/>
        </w:rPr>
      </w:pPr>
    </w:p>
    <w:p>
      <w:pPr>
        <w:jc w:val="center"/>
        <w:ind w:left="46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264" w:lineRule="exact"/>
        <w:rPr>
          <w:sz w:val="24"/>
          <w:szCs w:val="24"/>
          <w:color w:val="auto"/>
        </w:rPr>
      </w:pPr>
    </w:p>
    <w:p>
      <w:pPr>
        <w:ind w:left="940" w:hanging="448"/>
        <w:spacing w:after="0"/>
        <w:tabs>
          <w:tab w:leader="none" w:pos="940" w:val="left"/>
        </w:tabs>
        <w:numPr>
          <w:ilvl w:val="0"/>
          <w:numId w:val="2"/>
        </w:numPr>
        <w:rPr>
          <w:rFonts w:ascii="Wingdings" w:cs="Wingdings" w:eastAsia="Wingdings" w:hAnsi="Wingdings"/>
          <w:sz w:val="20"/>
          <w:szCs w:val="20"/>
          <w:b w:val="1"/>
          <w:bCs w:val="1"/>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w:t>
      </w:r>
    </w:p>
    <w:p>
      <w:pPr>
        <w:spacing w:after="0" w:line="343"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7"/>
          <w:szCs w:val="17"/>
          <w:b w:val="1"/>
          <w:bCs w:val="1"/>
          <w:color w:val="auto"/>
        </w:rPr>
        <w:t>For the transition period from ______ to ______</w:t>
      </w:r>
    </w:p>
    <w:p>
      <w:pPr>
        <w:spacing w:after="0" w:line="223" w:lineRule="exact"/>
        <w:rPr>
          <w:sz w:val="24"/>
          <w:szCs w:val="24"/>
          <w:color w:val="auto"/>
        </w:rPr>
      </w:pPr>
    </w:p>
    <w:p>
      <w:pPr>
        <w:jc w:val="center"/>
        <w:ind w:left="460"/>
        <w:spacing w:after="0"/>
        <w:rPr>
          <w:sz w:val="20"/>
          <w:szCs w:val="20"/>
          <w:color w:val="auto"/>
        </w:rPr>
      </w:pPr>
      <w:r>
        <w:rPr>
          <w:rFonts w:ascii="Times New Roman" w:cs="Times New Roman" w:eastAsia="Times New Roman" w:hAnsi="Times New Roman"/>
          <w:sz w:val="17"/>
          <w:szCs w:val="17"/>
          <w:b w:val="1"/>
          <w:bCs w:val="1"/>
          <w:color w:val="auto"/>
        </w:rPr>
        <w:t>Commission File Number: 001-38205</w:t>
      </w:r>
    </w:p>
    <w:p>
      <w:pPr>
        <w:spacing w:after="0" w:line="34"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7"/>
          <w:szCs w:val="17"/>
          <w:color w:val="auto"/>
        </w:rPr>
        <w:t>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3222625</wp:posOffset>
            </wp:positionH>
            <wp:positionV relativeFrom="paragraph">
              <wp:posOffset>8890</wp:posOffset>
            </wp:positionV>
            <wp:extent cx="995680" cy="3238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95680" cy="3238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left="460"/>
        <w:spacing w:after="0"/>
        <w:rPr>
          <w:sz w:val="20"/>
          <w:szCs w:val="20"/>
          <w:color w:val="auto"/>
        </w:rPr>
      </w:pPr>
      <w:r>
        <w:rPr>
          <w:rFonts w:ascii="Times New Roman" w:cs="Times New Roman" w:eastAsia="Times New Roman" w:hAnsi="Times New Roman"/>
          <w:sz w:val="17"/>
          <w:szCs w:val="17"/>
          <w:b w:val="1"/>
          <w:bCs w:val="1"/>
          <w:color w:val="auto"/>
        </w:rPr>
        <w:t>ZAI LAB LIMITED</w:t>
      </w:r>
    </w:p>
    <w:p>
      <w:pPr>
        <w:spacing w:after="0" w:line="34" w:lineRule="exact"/>
        <w:rPr>
          <w:sz w:val="24"/>
          <w:szCs w:val="24"/>
          <w:color w:val="auto"/>
        </w:rPr>
      </w:pPr>
    </w:p>
    <w:p>
      <w:pPr>
        <w:jc w:val="center"/>
        <w:ind w:left="46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14"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7"/>
          <w:szCs w:val="17"/>
          <w:color w:val="auto"/>
        </w:rPr>
        <w:t>____________________</w:t>
      </w:r>
    </w:p>
    <w:p>
      <w:pPr>
        <w:spacing w:after="0" w:line="255" w:lineRule="exact"/>
        <w:rPr>
          <w:sz w:val="24"/>
          <w:szCs w:val="24"/>
          <w:color w:val="auto"/>
        </w:rPr>
      </w:pPr>
    </w:p>
    <w:tbl>
      <w:tblPr>
        <w:tblLayout w:type="fixed"/>
        <w:tblInd w:w="2340" w:type="dxa"/>
        <w:tblCellMar>
          <w:top w:w="0" w:type="dxa"/>
          <w:left w:w="0" w:type="dxa"/>
          <w:bottom w:w="0" w:type="dxa"/>
          <w:right w:w="0" w:type="dxa"/>
        </w:tblCellMar>
      </w:tblPr>
      <w:tr>
        <w:trPr>
          <w:trHeight w:val="229"/>
        </w:trPr>
        <w:tc>
          <w:tcPr>
            <w:tcW w:w="3940" w:type="dxa"/>
            <w:vAlign w:val="bottom"/>
          </w:tcPr>
          <w:p>
            <w:pPr>
              <w:jc w:val="center"/>
              <w:ind w:right="1985"/>
              <w:spacing w:after="0"/>
              <w:rPr>
                <w:sz w:val="20"/>
                <w:szCs w:val="20"/>
                <w:color w:val="auto"/>
              </w:rPr>
            </w:pPr>
            <w:r>
              <w:rPr>
                <w:rFonts w:ascii="Times New Roman" w:cs="Times New Roman" w:eastAsia="Times New Roman" w:hAnsi="Times New Roman"/>
                <w:sz w:val="17"/>
                <w:szCs w:val="17"/>
                <w:b w:val="1"/>
                <w:bCs w:val="1"/>
                <w:color w:val="auto"/>
              </w:rPr>
              <w:t>Cayman Islands</w:t>
            </w:r>
          </w:p>
        </w:tc>
        <w:tc>
          <w:tcPr>
            <w:tcW w:w="3160" w:type="dxa"/>
            <w:vAlign w:val="bottom"/>
          </w:tcPr>
          <w:p>
            <w:pPr>
              <w:jc w:val="center"/>
              <w:ind w:left="2005"/>
              <w:spacing w:after="0"/>
              <w:rPr>
                <w:sz w:val="20"/>
                <w:szCs w:val="20"/>
                <w:color w:val="auto"/>
              </w:rPr>
            </w:pPr>
            <w:r>
              <w:rPr>
                <w:rFonts w:ascii="Times New Roman" w:cs="Times New Roman" w:eastAsia="Times New Roman" w:hAnsi="Times New Roman"/>
                <w:sz w:val="17"/>
                <w:szCs w:val="17"/>
                <w:b w:val="1"/>
                <w:bCs w:val="1"/>
                <w:color w:val="auto"/>
              </w:rPr>
              <w:t>98-1144595</w:t>
            </w:r>
          </w:p>
        </w:tc>
      </w:tr>
      <w:tr>
        <w:trPr>
          <w:trHeight w:val="172"/>
        </w:trPr>
        <w:tc>
          <w:tcPr>
            <w:tcW w:w="3940" w:type="dxa"/>
            <w:vAlign w:val="bottom"/>
          </w:tcPr>
          <w:p>
            <w:pPr>
              <w:jc w:val="center"/>
              <w:ind w:right="1985"/>
              <w:spacing w:after="0"/>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3160" w:type="dxa"/>
            <w:vAlign w:val="bottom"/>
          </w:tcPr>
          <w:p>
            <w:pPr>
              <w:jc w:val="center"/>
              <w:ind w:left="2005"/>
              <w:spacing w:after="0"/>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4"/>
        </w:trPr>
        <w:tc>
          <w:tcPr>
            <w:tcW w:w="3940" w:type="dxa"/>
            <w:vAlign w:val="bottom"/>
          </w:tcPr>
          <w:p>
            <w:pPr>
              <w:jc w:val="center"/>
              <w:ind w:right="1985"/>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3160" w:type="dxa"/>
            <w:vAlign w:val="bottom"/>
          </w:tcPr>
          <w:p>
            <w:pPr>
              <w:jc w:val="center"/>
              <w:ind w:left="2005"/>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bl>
    <w:p>
      <w:pPr>
        <w:spacing w:after="0" w:line="200" w:lineRule="exact"/>
        <w:rPr>
          <w:sz w:val="24"/>
          <w:szCs w:val="24"/>
          <w:color w:val="auto"/>
        </w:rPr>
      </w:pPr>
    </w:p>
    <w:p>
      <w:pPr>
        <w:sectPr>
          <w:pgSz w:w="11900" w:h="16850" w:orient="portrait"/>
          <w:cols w:equalWidth="0" w:num="1">
            <w:col w:w="11340"/>
          </w:cols>
          <w:pgMar w:left="320" w:top="1256" w:right="239" w:bottom="0" w:gutter="0" w:footer="0" w:header="0"/>
        </w:sectPr>
      </w:pPr>
    </w:p>
    <w:p>
      <w:pPr>
        <w:spacing w:after="0" w:line="117"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7"/>
          <w:szCs w:val="17"/>
          <w:b w:val="1"/>
          <w:bCs w:val="1"/>
          <w:color w:val="auto"/>
        </w:rPr>
        <w:t>899 Halei Road</w:t>
      </w:r>
    </w:p>
    <w:p>
      <w:pPr>
        <w:spacing w:after="0" w:line="34"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7"/>
          <w:szCs w:val="17"/>
          <w:b w:val="1"/>
          <w:bCs w:val="1"/>
          <w:color w:val="auto"/>
        </w:rPr>
        <w:t>Building B, Pudong</w:t>
      </w:r>
    </w:p>
    <w:p>
      <w:pPr>
        <w:spacing w:after="0" w:line="14"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7"/>
          <w:szCs w:val="17"/>
          <w:b w:val="1"/>
          <w:bCs w:val="1"/>
          <w:color w:val="auto"/>
        </w:rPr>
        <w:t>Shanghai</w:t>
      </w:r>
    </w:p>
    <w:p>
      <w:pPr>
        <w:spacing w:after="0" w:line="14"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7"/>
          <w:szCs w:val="17"/>
          <w:b w:val="1"/>
          <w:bCs w:val="1"/>
          <w:color w:val="auto"/>
        </w:rPr>
        <w:t>China</w:t>
      </w:r>
    </w:p>
    <w:p>
      <w:pPr>
        <w:spacing w:after="0" w:line="46"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7"/>
          <w:szCs w:val="17"/>
          <w:b w:val="1"/>
          <w:bCs w:val="1"/>
          <w:color w:val="auto"/>
        </w:rPr>
        <w:t>314 Main Street</w:t>
      </w:r>
    </w:p>
    <w:p>
      <w:pPr>
        <w:spacing w:after="0" w:line="34"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7"/>
          <w:szCs w:val="17"/>
          <w:b w:val="1"/>
          <w:bCs w:val="1"/>
          <w:color w:val="auto"/>
        </w:rPr>
        <w:t>4th Floor, Suite 100</w:t>
      </w:r>
    </w:p>
    <w:p>
      <w:pPr>
        <w:spacing w:after="0" w:line="14"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7"/>
          <w:szCs w:val="17"/>
          <w:b w:val="1"/>
          <w:bCs w:val="1"/>
          <w:color w:val="auto"/>
        </w:rPr>
        <w:t>Cambridge, MA, USA</w:t>
      </w:r>
    </w:p>
    <w:p>
      <w:pPr>
        <w:spacing w:after="0" w:line="42"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0" w:lineRule="exact"/>
        <w:rPr>
          <w:sz w:val="24"/>
          <w:szCs w:val="24"/>
          <w:color w:val="auto"/>
        </w:rPr>
      </w:pPr>
    </w:p>
    <w:p>
      <w:pPr>
        <w:spacing w:after="0" w:line="375"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7"/>
          <w:szCs w:val="17"/>
          <w:b w:val="1"/>
          <w:bCs w:val="1"/>
          <w:color w:val="auto"/>
        </w:rPr>
        <w:t>+86 216163 2588</w:t>
      </w:r>
    </w:p>
    <w:p>
      <w:pPr>
        <w:spacing w:after="0" w:line="34"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7"/>
          <w:szCs w:val="17"/>
          <w:b w:val="1"/>
          <w:bCs w:val="1"/>
          <w:color w:val="auto"/>
        </w:rPr>
        <w:t>+1 857 706 2604</w:t>
      </w:r>
    </w:p>
    <w:p>
      <w:pPr>
        <w:spacing w:after="0" w:line="1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14"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7"/>
          <w:szCs w:val="17"/>
          <w:color w:val="auto"/>
        </w:rPr>
        <w:t>____________________</w:t>
      </w:r>
    </w:p>
    <w:p>
      <w:pPr>
        <w:spacing w:after="0" w:line="203"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201203</w:t>
      </w:r>
    </w:p>
    <w:p>
      <w:pPr>
        <w:spacing w:after="0" w:line="200" w:lineRule="exact"/>
        <w:rPr>
          <w:sz w:val="24"/>
          <w:szCs w:val="24"/>
          <w:color w:val="auto"/>
        </w:rPr>
      </w:pPr>
    </w:p>
    <w:p>
      <w:pPr>
        <w:spacing w:after="0" w:line="284" w:lineRule="exact"/>
        <w:rPr>
          <w:sz w:val="24"/>
          <w:szCs w:val="24"/>
          <w:color w:val="auto"/>
        </w:rPr>
      </w:pPr>
    </w:p>
    <w:p>
      <w:pPr>
        <w:jc w:val="center"/>
        <w:ind w:right="2120"/>
        <w:spacing w:after="0"/>
        <w:rPr>
          <w:sz w:val="20"/>
          <w:szCs w:val="20"/>
          <w:color w:val="auto"/>
        </w:rPr>
      </w:pPr>
      <w:r>
        <w:rPr>
          <w:rFonts w:ascii="Times New Roman" w:cs="Times New Roman" w:eastAsia="Times New Roman" w:hAnsi="Times New Roman"/>
          <w:sz w:val="17"/>
          <w:szCs w:val="17"/>
          <w:b w:val="1"/>
          <w:bCs w:val="1"/>
          <w:color w:val="auto"/>
        </w:rPr>
        <w:t>02142</w:t>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(Zip Code)</w:t>
      </w:r>
    </w:p>
    <w:p>
      <w:pPr>
        <w:spacing w:after="0" w:line="2027" w:lineRule="exact"/>
        <w:rPr>
          <w:sz w:val="24"/>
          <w:szCs w:val="24"/>
          <w:color w:val="auto"/>
        </w:rPr>
      </w:pPr>
    </w:p>
    <w:p>
      <w:pPr>
        <w:sectPr>
          <w:pgSz w:w="11900" w:h="16850" w:orient="portrait"/>
          <w:cols w:equalWidth="0" w:num="2">
            <w:col w:w="7920" w:space="660"/>
            <w:col w:w="2760"/>
          </w:cols>
          <w:pgMar w:left="320" w:top="1256" w:right="239" w:bottom="0" w:gutter="0" w:footer="0" w:header="0"/>
          <w:type w:val="continuous"/>
        </w:sectPr>
      </w:pP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4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3"/>
              </w:rPr>
              <w:t>Trading</w:t>
            </w: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0"/>
        </w:trPr>
        <w:tc>
          <w:tcPr>
            <w:tcW w:w="4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Symbol(s)</w:t>
            </w: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on which registered</w:t>
            </w:r>
          </w:p>
        </w:tc>
      </w:tr>
      <w:tr>
        <w:trPr>
          <w:trHeight w:val="23"/>
        </w:trPr>
        <w:tc>
          <w:tcPr>
            <w:tcW w:w="4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08"/>
        </w:trPr>
        <w:tc>
          <w:tcPr>
            <w:tcW w:w="46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American Depositary Shares, each representing 10 Ordinary</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ZLAB</w:t>
            </w:r>
          </w:p>
        </w:tc>
        <w:tc>
          <w:tcPr>
            <w:tcW w:w="44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The Nasdaq Global Market</w:t>
            </w:r>
          </w:p>
        </w:tc>
      </w:tr>
      <w:tr>
        <w:trPr>
          <w:trHeight w:val="229"/>
        </w:trPr>
        <w:tc>
          <w:tcPr>
            <w:tcW w:w="46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Shares, par value $0.000006 per share</w:t>
            </w: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40" w:type="dxa"/>
            <w:vAlign w:val="bottom"/>
          </w:tcPr>
          <w:p>
            <w:pPr>
              <w:spacing w:after="0"/>
              <w:rPr>
                <w:sz w:val="19"/>
                <w:szCs w:val="19"/>
                <w:color w:val="auto"/>
              </w:rPr>
            </w:pPr>
          </w:p>
        </w:tc>
      </w:tr>
      <w:tr>
        <w:trPr>
          <w:trHeight w:val="261"/>
        </w:trPr>
        <w:tc>
          <w:tcPr>
            <w:tcW w:w="46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Ordinary Shares, par value $0.000006 per share*</w:t>
            </w:r>
          </w:p>
        </w:tc>
        <w:tc>
          <w:tcPr>
            <w:tcW w:w="2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9688</w:t>
            </w:r>
          </w:p>
        </w:tc>
        <w:tc>
          <w:tcPr>
            <w:tcW w:w="100" w:type="dxa"/>
            <w:vAlign w:val="bottom"/>
          </w:tcPr>
          <w:p>
            <w:pPr>
              <w:spacing w:after="0"/>
              <w:rPr>
                <w:sz w:val="22"/>
                <w:szCs w:val="22"/>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The Stock Exchange of Hong Kong Limited</w:t>
            </w:r>
          </w:p>
        </w:tc>
      </w:tr>
    </w:tbl>
    <w:p>
      <w:pPr>
        <w:spacing w:after="0" w:line="309" w:lineRule="exact"/>
        <w:rPr>
          <w:sz w:val="24"/>
          <w:szCs w:val="24"/>
          <w:color w:val="auto"/>
        </w:rPr>
      </w:pPr>
    </w:p>
    <w:p>
      <w:pPr>
        <w:ind w:left="480" w:right="320" w:hanging="475"/>
        <w:spacing w:after="0" w:line="295" w:lineRule="auto"/>
        <w:tabs>
          <w:tab w:leader="none" w:pos="47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connection with the registration of the American Depositary Shares with the Securities and Exchange Commission. The ordinary shares are not registered or listed for trading in the United States but are listed for trading on The Stock Exchange of Hong Kong Limited.</w:t>
      </w:r>
    </w:p>
    <w:p>
      <w:pPr>
        <w:spacing w:after="0" w:line="147" w:lineRule="exact"/>
        <w:rPr>
          <w:sz w:val="24"/>
          <w:szCs w:val="24"/>
          <w:color w:val="auto"/>
        </w:rPr>
      </w:pPr>
    </w:p>
    <w:p>
      <w:pPr>
        <w:ind w:right="280" w:firstLine="470"/>
        <w:spacing w:after="0" w:line="22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64" w:lineRule="exact"/>
        <w:rPr>
          <w:sz w:val="24"/>
          <w:szCs w:val="24"/>
          <w:color w:val="auto"/>
        </w:rPr>
      </w:pPr>
    </w:p>
    <w:p>
      <w:pPr>
        <w:ind w:right="240" w:firstLine="470"/>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p>
    <w:p>
      <w:pPr>
        <w:ind w:left="200" w:hanging="195"/>
        <w:spacing w:after="0" w:line="196" w:lineRule="exact"/>
        <w:tabs>
          <w:tab w:leader="none" w:pos="20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09" w:lineRule="exact"/>
        <w:rPr>
          <w:sz w:val="24"/>
          <w:szCs w:val="24"/>
          <w:color w:val="auto"/>
        </w:rPr>
      </w:pPr>
    </w:p>
    <w:p>
      <w:pPr>
        <w:ind w:right="160" w:firstLine="470"/>
        <w:spacing w:after="0" w:line="29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w:t>
      </w:r>
    </w:p>
    <w:p>
      <w:pPr>
        <w:sectPr>
          <w:pgSz w:w="11900" w:h="16850" w:orient="portrait"/>
          <w:cols w:equalWidth="0" w:num="1">
            <w:col w:w="11340"/>
          </w:cols>
          <w:pgMar w:left="320" w:top="125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7"/>
        </w:trPr>
        <w:tc>
          <w:tcPr>
            <w:tcW w:w="2980" w:type="dxa"/>
            <w:vAlign w:val="bottom"/>
          </w:tcPr>
          <w:p>
            <w:pPr>
              <w:spacing w:after="0"/>
              <w:rPr>
                <w:sz w:val="20"/>
                <w:szCs w:val="20"/>
                <w:color w:val="auto"/>
              </w:rPr>
            </w:pPr>
            <w:r>
              <w:rPr>
                <w:rFonts w:ascii="Times New Roman" w:cs="Times New Roman" w:eastAsia="Times New Roman" w:hAnsi="Times New Roman"/>
                <w:sz w:val="17"/>
                <w:szCs w:val="17"/>
                <w:color w:val="auto"/>
              </w:rPr>
              <w:t>Rule 12b-2 of the Exchange Act.</w:t>
            </w:r>
          </w:p>
        </w:tc>
        <w:tc>
          <w:tcPr>
            <w:tcW w:w="274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75"/>
        </w:trPr>
        <w:tc>
          <w:tcPr>
            <w:tcW w:w="298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Large accelerated filer</w:t>
            </w:r>
          </w:p>
        </w:tc>
        <w:tc>
          <w:tcPr>
            <w:tcW w:w="2740" w:type="dxa"/>
            <w:vAlign w:val="bottom"/>
            <w:vMerge w:val="restart"/>
          </w:tcPr>
          <w:p>
            <w:pPr>
              <w:ind w:left="520"/>
              <w:spacing w:after="0"/>
              <w:rPr>
                <w:sz w:val="20"/>
                <w:szCs w:val="20"/>
                <w:color w:val="auto"/>
              </w:rPr>
            </w:pPr>
            <w:r>
              <w:rPr>
                <w:rFonts w:ascii="Wingdings" w:cs="Wingdings" w:eastAsia="Wingdings" w:hAnsi="Wingdings"/>
                <w:sz w:val="17"/>
                <w:szCs w:val="17"/>
                <w:b w:val="1"/>
                <w:bCs w:val="1"/>
                <w:color w:val="auto"/>
              </w:rPr>
              <w:t>x</w:t>
            </w:r>
          </w:p>
        </w:tc>
        <w:tc>
          <w:tcPr>
            <w:tcW w:w="4620" w:type="dxa"/>
            <w:vAlign w:val="bottom"/>
          </w:tcPr>
          <w:p>
            <w:pPr>
              <w:ind w:left="2040"/>
              <w:spacing w:after="0"/>
              <w:rPr>
                <w:sz w:val="20"/>
                <w:szCs w:val="20"/>
                <w:color w:val="auto"/>
              </w:rPr>
            </w:pPr>
            <w:r>
              <w:rPr>
                <w:rFonts w:ascii="Times New Roman" w:cs="Times New Roman" w:eastAsia="Times New Roman" w:hAnsi="Times New Roman"/>
                <w:sz w:val="17"/>
                <w:szCs w:val="17"/>
                <w:color w:val="auto"/>
              </w:rPr>
              <w:t>Accelerated filer</w:t>
            </w:r>
          </w:p>
        </w:tc>
        <w:tc>
          <w:tcPr>
            <w:tcW w:w="820" w:type="dxa"/>
            <w:vAlign w:val="bottom"/>
          </w:tcPr>
          <w:p>
            <w:pPr>
              <w:ind w:left="660"/>
              <w:spacing w:after="0"/>
              <w:rPr>
                <w:sz w:val="20"/>
                <w:szCs w:val="20"/>
                <w:color w:val="auto"/>
              </w:rPr>
            </w:pPr>
            <w:r>
              <w:rPr>
                <w:rFonts w:ascii="Wingdings" w:cs="Wingdings" w:eastAsia="Wingdings" w:hAnsi="Wingdings"/>
                <w:sz w:val="17"/>
                <w:szCs w:val="17"/>
                <w:b w:val="1"/>
                <w:bCs w:val="1"/>
                <w:color w:val="auto"/>
                <w:w w:val="92"/>
              </w:rPr>
              <w:t>o</w:t>
            </w:r>
          </w:p>
        </w:tc>
        <w:tc>
          <w:tcPr>
            <w:tcW w:w="0" w:type="dxa"/>
            <w:vAlign w:val="bottom"/>
          </w:tcPr>
          <w:p>
            <w:pPr>
              <w:spacing w:after="0"/>
              <w:rPr>
                <w:sz w:val="1"/>
                <w:szCs w:val="1"/>
                <w:color w:val="auto"/>
              </w:rPr>
            </w:pPr>
          </w:p>
        </w:tc>
      </w:tr>
      <w:tr>
        <w:trPr>
          <w:trHeight w:val="89"/>
        </w:trPr>
        <w:tc>
          <w:tcPr>
            <w:tcW w:w="298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4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2"/>
        </w:trPr>
        <w:tc>
          <w:tcPr>
            <w:tcW w:w="298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Non-accelerated filer</w:t>
            </w:r>
          </w:p>
        </w:tc>
        <w:tc>
          <w:tcPr>
            <w:tcW w:w="2740" w:type="dxa"/>
            <w:vAlign w:val="bottom"/>
            <w:vMerge w:val="restart"/>
          </w:tcPr>
          <w:p>
            <w:pPr>
              <w:ind w:left="520"/>
              <w:spacing w:after="0"/>
              <w:rPr>
                <w:sz w:val="20"/>
                <w:szCs w:val="20"/>
                <w:color w:val="auto"/>
              </w:rPr>
            </w:pPr>
            <w:r>
              <w:rPr>
                <w:rFonts w:ascii="Wingdings" w:cs="Wingdings" w:eastAsia="Wingdings" w:hAnsi="Wingdings"/>
                <w:sz w:val="17"/>
                <w:szCs w:val="17"/>
                <w:b w:val="1"/>
                <w:bCs w:val="1"/>
                <w:color w:val="auto"/>
              </w:rPr>
              <w:t>o</w:t>
            </w:r>
          </w:p>
        </w:tc>
        <w:tc>
          <w:tcPr>
            <w:tcW w:w="4620" w:type="dxa"/>
            <w:vAlign w:val="bottom"/>
          </w:tcPr>
          <w:p>
            <w:pPr>
              <w:ind w:left="20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820" w:type="dxa"/>
            <w:vAlign w:val="bottom"/>
          </w:tcPr>
          <w:p>
            <w:pPr>
              <w:ind w:left="660"/>
              <w:spacing w:after="0"/>
              <w:rPr>
                <w:sz w:val="20"/>
                <w:szCs w:val="20"/>
                <w:color w:val="auto"/>
              </w:rPr>
            </w:pPr>
            <w:r>
              <w:rPr>
                <w:rFonts w:ascii="Wingdings" w:cs="Wingdings" w:eastAsia="Wingdings" w:hAnsi="Wingdings"/>
                <w:sz w:val="17"/>
                <w:szCs w:val="17"/>
                <w:b w:val="1"/>
                <w:bCs w:val="1"/>
                <w:color w:val="auto"/>
                <w:w w:val="92"/>
              </w:rPr>
              <w:t>o</w:t>
            </w:r>
          </w:p>
        </w:tc>
        <w:tc>
          <w:tcPr>
            <w:tcW w:w="0" w:type="dxa"/>
            <w:vAlign w:val="bottom"/>
          </w:tcPr>
          <w:p>
            <w:pPr>
              <w:spacing w:after="0"/>
              <w:rPr>
                <w:sz w:val="1"/>
                <w:szCs w:val="1"/>
                <w:color w:val="auto"/>
              </w:rPr>
            </w:pPr>
          </w:p>
        </w:tc>
      </w:tr>
      <w:tr>
        <w:trPr>
          <w:trHeight w:val="89"/>
        </w:trPr>
        <w:tc>
          <w:tcPr>
            <w:tcW w:w="298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4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298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Emerging growth company</w:t>
            </w:r>
          </w:p>
        </w:tc>
        <w:tc>
          <w:tcPr>
            <w:tcW w:w="2740" w:type="dxa"/>
            <w:vAlign w:val="bottom"/>
          </w:tcPr>
          <w:p>
            <w:pPr>
              <w:ind w:left="520"/>
              <w:spacing w:after="0"/>
              <w:rPr>
                <w:sz w:val="20"/>
                <w:szCs w:val="20"/>
                <w:color w:val="auto"/>
              </w:rPr>
            </w:pPr>
            <w:r>
              <w:rPr>
                <w:rFonts w:ascii="Wingdings" w:cs="Wingdings" w:eastAsia="Wingdings" w:hAnsi="Wingdings"/>
                <w:sz w:val="17"/>
                <w:szCs w:val="17"/>
                <w:b w:val="1"/>
                <w:bCs w:val="1"/>
                <w:color w:val="auto"/>
              </w:rPr>
              <w:t>o</w:t>
            </w:r>
          </w:p>
        </w:tc>
        <w:tc>
          <w:tcPr>
            <w:tcW w:w="4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firstLine="470"/>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25" w:lineRule="exact"/>
        <w:rPr>
          <w:sz w:val="20"/>
          <w:szCs w:val="20"/>
          <w:color w:val="auto"/>
        </w:rPr>
      </w:pPr>
    </w:p>
    <w:p>
      <w:pPr>
        <w:ind w:left="480"/>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61" w:lineRule="exact"/>
        <w:rPr>
          <w:sz w:val="20"/>
          <w:szCs w:val="20"/>
          <w:color w:val="auto"/>
        </w:rPr>
      </w:pPr>
    </w:p>
    <w:p>
      <w:pPr>
        <w:ind w:right="180" w:firstLine="470"/>
        <w:spacing w:after="0" w:line="295" w:lineRule="auto"/>
        <w:rPr>
          <w:sz w:val="20"/>
          <w:szCs w:val="20"/>
          <w:color w:val="auto"/>
        </w:rPr>
      </w:pPr>
      <w:r>
        <w:rPr>
          <w:rFonts w:ascii="Times New Roman" w:cs="Times New Roman" w:eastAsia="Times New Roman" w:hAnsi="Times New Roman"/>
          <w:sz w:val="17"/>
          <w:szCs w:val="17"/>
          <w:color w:val="auto"/>
        </w:rPr>
        <w:t>As of April 30, 2026, 1,123,548,580 ordinary shares of the registrant, par value $0.000006 per share, were outstanding, of which 340,336,080 ordinary shares were held in the form of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706120</wp:posOffset>
            </wp:positionV>
            <wp:extent cx="716216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301625</wp:posOffset>
            </wp:positionH>
            <wp:positionV relativeFrom="paragraph">
              <wp:posOffset>71755</wp:posOffset>
            </wp:positionV>
            <wp:extent cx="6899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9275" cy="8255"/>
                    </a:xfrm>
                    <a:prstGeom prst="rect">
                      <a:avLst/>
                    </a:prstGeom>
                    <a:noFill/>
                  </pic:spPr>
                </pic:pic>
              </a:graphicData>
            </a:graphic>
          </wp:anchor>
        </w:drawing>
        <w:drawing>
          <wp:anchor simplePos="0" relativeHeight="251657728" behindDoc="1" locked="0" layoutInCell="0" allowOverlap="1">
            <wp:simplePos x="0" y="0"/>
            <wp:positionH relativeFrom="column">
              <wp:posOffset>301625</wp:posOffset>
            </wp:positionH>
            <wp:positionV relativeFrom="paragraph">
              <wp:posOffset>96520</wp:posOffset>
            </wp:positionV>
            <wp:extent cx="68992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9275" cy="825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 w:name="page3"/>
    <w:bookmarkEnd w:id="2"/>
    <w:p>
      <w:pPr>
        <w:ind w:left="480"/>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Zai Lab Limited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Quarterly Report on Form 10-Q</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First Quarter of 2026</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9020" w:type="dxa"/>
            <w:vAlign w:val="bottom"/>
            <w:gridSpan w:val="21"/>
            <w:vMerge w:val="restart"/>
          </w:tcPr>
          <w:p>
            <w:pPr>
              <w:spacing w:after="0"/>
              <w:rPr>
                <w:sz w:val="20"/>
                <w:szCs w:val="20"/>
                <w:color w:val="auto"/>
              </w:rPr>
            </w:pPr>
            <w:r>
              <w:rPr>
                <w:rFonts w:ascii="Times New Roman" w:cs="Times New Roman" w:eastAsia="Times New Roman" w:hAnsi="Times New Roman"/>
                <w:sz w:val="17"/>
                <w:szCs w:val="17"/>
                <w:b w:val="1"/>
                <w:bCs w:val="1"/>
                <w:color w:val="0000FF"/>
              </w:rPr>
              <w:t>FINANCIAL INFORMATION</w:t>
            </w: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9020" w:type="dxa"/>
            <w:vAlign w:val="bottom"/>
            <w:gridSpan w:val="21"/>
            <w:vMerge w:val="continue"/>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w:t>
            </w:r>
          </w:p>
        </w:tc>
        <w:tc>
          <w:tcPr>
            <w:tcW w:w="23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Financial Statements (Unaudited)</w:t>
            </w:r>
          </w:p>
        </w:tc>
        <w:tc>
          <w:tcPr>
            <w:tcW w:w="6680" w:type="dxa"/>
            <w:vAlign w:val="bottom"/>
            <w:gridSpan w:val="10"/>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Condensed Consolidated Balance Sheets as of March 31, 2026 and December 31, 2025</w:t>
            </w:r>
          </w:p>
        </w:tc>
        <w:tc>
          <w:tcPr>
            <w:tcW w:w="2480" w:type="dxa"/>
            <w:vAlign w:val="bottom"/>
            <w:gridSpan w:val="5"/>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Condensed Consolidated Statements of Operations for the Three Months Ended March 31, 2026 and 2025</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1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Loss for the Three Months Ended March 31, 2026 and 2025</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1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Statements of Shareholders’ Equity for the Three Months Ended March 31, 2026 and 2025</w:t>
            </w: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for the Three Months Ended March 31, 2026 and 2025</w:t>
            </w:r>
          </w:p>
        </w:tc>
        <w:tc>
          <w:tcPr>
            <w:tcW w:w="1100" w:type="dxa"/>
            <w:vAlign w:val="bottom"/>
            <w:gridSpan w:val="3"/>
            <w:vMerge w:val="restart"/>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960" w:type="dxa"/>
            <w:vAlign w:val="bottom"/>
            <w:gridSpan w:val="3"/>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80" w:type="dxa"/>
            <w:vAlign w:val="bottom"/>
            <w:gridSpan w:val="3"/>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10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900" w:type="dxa"/>
            <w:vAlign w:val="bottom"/>
            <w:tcBorders>
              <w:bottom w:val="single" w:sz="8" w:color="0000FF"/>
            </w:tcBorders>
            <w:gridSpan w:val="13"/>
          </w:tcPr>
          <w:p>
            <w:pPr>
              <w:spacing w:after="0" w:line="189" w:lineRule="exact"/>
              <w:rPr>
                <w:sz w:val="20"/>
                <w:szCs w:val="20"/>
                <w:color w:val="auto"/>
              </w:rPr>
            </w:pPr>
            <w:r>
              <w:rPr>
                <w:rFonts w:ascii="Times New Roman" w:cs="Times New Roman" w:eastAsia="Times New Roman" w:hAnsi="Times New Roman"/>
                <w:sz w:val="17"/>
                <w:szCs w:val="17"/>
                <w:color w:val="0000FF"/>
              </w:rPr>
              <w:t>Notes to the Unaudited Condensed Consolidated Financial Statements</w:t>
            </w:r>
          </w:p>
        </w:tc>
        <w:tc>
          <w:tcPr>
            <w:tcW w:w="3660" w:type="dxa"/>
            <w:vAlign w:val="bottom"/>
            <w:gridSpan w:val="7"/>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2.</w:t>
            </w:r>
          </w:p>
        </w:tc>
        <w:tc>
          <w:tcPr>
            <w:tcW w:w="902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3.</w:t>
            </w:r>
          </w:p>
        </w:tc>
        <w:tc>
          <w:tcPr>
            <w:tcW w:w="62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2780" w:type="dxa"/>
            <w:vAlign w:val="bottom"/>
            <w:gridSpan w:val="6"/>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4.</w:t>
            </w:r>
          </w:p>
        </w:tc>
        <w:tc>
          <w:tcPr>
            <w:tcW w:w="17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2440" w:type="dxa"/>
            <w:vAlign w:val="bottom"/>
            <w:tcBorders>
              <w:top w:val="single" w:sz="8" w:color="0000FF"/>
            </w:tcBorders>
            <w:gridSpan w:val="5"/>
          </w:tcPr>
          <w:p>
            <w:pPr>
              <w:spacing w:after="0"/>
              <w:rPr>
                <w:sz w:val="17"/>
                <w:szCs w:val="17"/>
                <w:color w:val="auto"/>
              </w:rPr>
            </w:pPr>
          </w:p>
        </w:tc>
        <w:tc>
          <w:tcPr>
            <w:tcW w:w="4860" w:type="dxa"/>
            <w:vAlign w:val="bottom"/>
            <w:gridSpan w:val="9"/>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9020" w:type="dxa"/>
            <w:vAlign w:val="bottom"/>
            <w:gridSpan w:val="21"/>
          </w:tcPr>
          <w:p>
            <w:pPr>
              <w:spacing w:after="0"/>
              <w:rPr>
                <w:sz w:val="20"/>
                <w:szCs w:val="20"/>
                <w:color w:val="auto"/>
              </w:rPr>
            </w:pPr>
            <w:r>
              <w:rPr>
                <w:rFonts w:ascii="Times New Roman" w:cs="Times New Roman" w:eastAsia="Times New Roman" w:hAnsi="Times New Roman"/>
                <w:sz w:val="17"/>
                <w:szCs w:val="17"/>
                <w:b w:val="1"/>
                <w:bCs w:val="1"/>
                <w:color w:val="0000FF"/>
              </w:rPr>
              <w:t>OTHER INFORMATION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w:t>
            </w:r>
          </w:p>
        </w:tc>
        <w:tc>
          <w:tcPr>
            <w:tcW w:w="19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7080" w:type="dxa"/>
            <w:vAlign w:val="bottom"/>
            <w:gridSpan w:val="13"/>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1A.</w:t>
            </w:r>
          </w:p>
        </w:tc>
        <w:tc>
          <w:tcPr>
            <w:tcW w:w="12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7740" w:type="dxa"/>
            <w:vAlign w:val="bottom"/>
            <w:gridSpan w:val="16"/>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2.</w:t>
            </w:r>
          </w:p>
        </w:tc>
        <w:tc>
          <w:tcPr>
            <w:tcW w:w="42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4820" w:type="dxa"/>
            <w:vAlign w:val="bottom"/>
            <w:gridSpan w:val="8"/>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3.</w:t>
            </w:r>
          </w:p>
        </w:tc>
        <w:tc>
          <w:tcPr>
            <w:tcW w:w="902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Defaults upon Senior Securities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4.</w:t>
            </w:r>
          </w:p>
        </w:tc>
        <w:tc>
          <w:tcPr>
            <w:tcW w:w="22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6820" w:type="dxa"/>
            <w:vAlign w:val="bottom"/>
            <w:gridSpan w:val="12"/>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5.</w:t>
            </w:r>
          </w:p>
        </w:tc>
        <w:tc>
          <w:tcPr>
            <w:tcW w:w="17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7320" w:type="dxa"/>
            <w:vAlign w:val="bottom"/>
            <w:gridSpan w:val="15"/>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6.</w:t>
            </w:r>
          </w:p>
        </w:tc>
        <w:tc>
          <w:tcPr>
            <w:tcW w:w="12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Exhibits</w:t>
            </w:r>
          </w:p>
        </w:tc>
        <w:tc>
          <w:tcPr>
            <w:tcW w:w="7760" w:type="dxa"/>
            <w:vAlign w:val="bottom"/>
            <w:gridSpan w:val="17"/>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4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1005"/>
        </w:trPr>
        <w:tc>
          <w:tcPr>
            <w:tcW w:w="2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4" w:right="33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SPECIAL NOTES REGARDING THE COMPANY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86" w:lineRule="exact"/>
        <w:rPr>
          <w:sz w:val="20"/>
          <w:szCs w:val="20"/>
          <w:color w:val="auto"/>
        </w:rPr>
      </w:pPr>
    </w:p>
    <w:p>
      <w:pPr>
        <w:ind w:right="20" w:firstLine="470"/>
        <w:spacing w:after="0" w:line="299" w:lineRule="auto"/>
        <w:rPr>
          <w:sz w:val="20"/>
          <w:szCs w:val="20"/>
          <w:color w:val="auto"/>
        </w:rPr>
      </w:pPr>
      <w:r>
        <w:rPr>
          <w:rFonts w:ascii="Times New Roman" w:cs="Times New Roman" w:eastAsia="Times New Roman" w:hAnsi="Times New Roman"/>
          <w:sz w:val="17"/>
          <w:szCs w:val="17"/>
          <w:color w:val="auto"/>
        </w:rPr>
        <w:t>This report contains certain forward-looking statements, including statements relating to our strategy and plans; potential of and expectations for our business, commercial products, and pipeline programs; the market for our commercial and pipeline products; capital allocation and investment strategy; clinical development programs and related clinical trials; clinical trial data, data readouts, and presentations; risks and uncertainties associated with drug development and commercialization; regulatory discussions, submissions, filings, and approvals and the timing thereof; the potential benefits, safety, and efficacy of our products and product candidates and those of our collaboration partners; the anticipated benefits and potential of investments, collaborations, and business development activities; our profitability and timeline to profitability; and our future financial and operating results. All statements, other than statements of historical fact, included in this report are forward-looking statements, and can be identified by words such as “aim,” “anticipate,” “believe,” “contemplate,” “continue,” “could,” “estimate,” “expect,” “forecast,” “goal,” “intend,” “may,” “plan,” “possible,” “potential,” “predict,” “project,” “seek,” “should,” “target,” “will,” “would,” or the negative of these terms or similar expressions. Such statements constitute forward-looking statements within the meaning of the Private Securities Litigation Reform Act of 1995. Forward-looking statements are not guarantees or assurances of future performance. Forward-looking statements are based on our expectations and assumptions as of the date of this report and are subject to inherent uncertainties, risks, and changes in circumstances that may differ materially from those contemplated by the forward-looking statements. We may not actually achieve the plans, carry out the intentions, or meet the expectations or projections disclosed in our forward-looking statements, and you should not place undue reliance on these forward-looking statements. Actual results may differ materially from those indicated by such forward-looking statements as a result of various important factors, including but not limited to the following:</w:t>
      </w:r>
    </w:p>
    <w:p>
      <w:pPr>
        <w:spacing w:after="0" w:line="380" w:lineRule="exact"/>
        <w:rPr>
          <w:sz w:val="20"/>
          <w:szCs w:val="20"/>
          <w:color w:val="auto"/>
        </w:rPr>
      </w:pPr>
    </w:p>
    <w:p>
      <w:pPr>
        <w:ind w:left="560" w:hanging="242"/>
        <w:spacing w:after="0"/>
        <w:tabs>
          <w:tab w:leader="none" w:pos="5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commercialize and generate revenue from our approved products;</w:t>
      </w:r>
    </w:p>
    <w:p>
      <w:pPr>
        <w:spacing w:after="0" w:line="39" w:lineRule="exact"/>
        <w:rPr>
          <w:rFonts w:ascii="Times New Roman" w:cs="Times New Roman" w:eastAsia="Times New Roman" w:hAnsi="Times New Roman"/>
          <w:sz w:val="17"/>
          <w:szCs w:val="17"/>
          <w:color w:val="auto"/>
        </w:rPr>
      </w:pPr>
    </w:p>
    <w:p>
      <w:pPr>
        <w:ind w:left="560" w:hanging="242"/>
        <w:spacing w:after="0"/>
        <w:tabs>
          <w:tab w:leader="none" w:pos="5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funding for our operations and business initiatives;</w:t>
      </w:r>
    </w:p>
    <w:p>
      <w:pPr>
        <w:spacing w:after="0" w:line="39" w:lineRule="exact"/>
        <w:rPr>
          <w:rFonts w:ascii="Times New Roman" w:cs="Times New Roman" w:eastAsia="Times New Roman" w:hAnsi="Times New Roman"/>
          <w:sz w:val="17"/>
          <w:szCs w:val="17"/>
          <w:color w:val="auto"/>
        </w:rPr>
      </w:pPr>
    </w:p>
    <w:p>
      <w:pPr>
        <w:ind w:left="560" w:hanging="242"/>
        <w:spacing w:after="0"/>
        <w:tabs>
          <w:tab w:leader="none" w:pos="5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of our clinical and pre-clinical development of our product candidates;</w:t>
      </w:r>
    </w:p>
    <w:p>
      <w:pPr>
        <w:spacing w:after="0" w:line="39" w:lineRule="exact"/>
        <w:rPr>
          <w:rFonts w:ascii="Times New Roman" w:cs="Times New Roman" w:eastAsia="Times New Roman" w:hAnsi="Times New Roman"/>
          <w:sz w:val="17"/>
          <w:szCs w:val="17"/>
          <w:color w:val="auto"/>
        </w:rPr>
      </w:pPr>
    </w:p>
    <w:p>
      <w:pPr>
        <w:ind w:left="560" w:hanging="242"/>
        <w:spacing w:after="0"/>
        <w:tabs>
          <w:tab w:leader="none" w:pos="5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content and timing of decisions made by the relevant regulatory authorities regarding regulatory approvals of our product candidates;</w:t>
      </w:r>
    </w:p>
    <w:p>
      <w:pPr>
        <w:spacing w:after="0" w:line="39" w:lineRule="exact"/>
        <w:rPr>
          <w:rFonts w:ascii="Times New Roman" w:cs="Times New Roman" w:eastAsia="Times New Roman" w:hAnsi="Times New Roman"/>
          <w:sz w:val="17"/>
          <w:szCs w:val="17"/>
          <w:color w:val="auto"/>
        </w:rPr>
      </w:pPr>
    </w:p>
    <w:p>
      <w:pPr>
        <w:ind w:left="640" w:right="160" w:hanging="322"/>
        <w:spacing w:after="0" w:line="288" w:lineRule="auto"/>
        <w:tabs>
          <w:tab w:leader="none" w:pos="55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inability of third parties on whom we rely, such as our licensors, CMOs, and others that supply certain of our products and product candidates; CROs that conduct or support some of our pre-clinical and clinical trials; and distributors that sell our commercial products, to successfully carry out their contractual duties or meet expected deadlines;</w:t>
      </w:r>
    </w:p>
    <w:p>
      <w:pPr>
        <w:spacing w:after="0" w:line="1" w:lineRule="exact"/>
        <w:rPr>
          <w:rFonts w:ascii="Times New Roman" w:cs="Times New Roman" w:eastAsia="Times New Roman" w:hAnsi="Times New Roman"/>
          <w:sz w:val="17"/>
          <w:szCs w:val="17"/>
          <w:color w:val="auto"/>
        </w:rPr>
      </w:pPr>
    </w:p>
    <w:p>
      <w:pPr>
        <w:ind w:left="640" w:hanging="322"/>
        <w:spacing w:after="0" w:line="288" w:lineRule="auto"/>
        <w:tabs>
          <w:tab w:leader="none" w:pos="55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issues that our Chinese manufacturing facilities may have with operating in conformity with established GMPs and international best practices, and with passing FDA, NMPA, and EMA inspections;</w:t>
      </w:r>
    </w:p>
    <w:p>
      <w:pPr>
        <w:spacing w:after="0" w:line="1" w:lineRule="exact"/>
        <w:rPr>
          <w:rFonts w:ascii="Times New Roman" w:cs="Times New Roman" w:eastAsia="Times New Roman" w:hAnsi="Times New Roman"/>
          <w:sz w:val="17"/>
          <w:szCs w:val="17"/>
          <w:color w:val="auto"/>
        </w:rPr>
      </w:pPr>
    </w:p>
    <w:p>
      <w:pPr>
        <w:ind w:left="540" w:hanging="222"/>
        <w:spacing w:after="0"/>
        <w:tabs>
          <w:tab w:leader="none" w:pos="5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inability to obtain or maintain sufficient patent protection for our products and product candidates;</w:t>
      </w:r>
    </w:p>
    <w:p>
      <w:pPr>
        <w:spacing w:after="0" w:line="39" w:lineRule="exact"/>
        <w:rPr>
          <w:rFonts w:ascii="Times New Roman" w:cs="Times New Roman" w:eastAsia="Times New Roman" w:hAnsi="Times New Roman"/>
          <w:sz w:val="17"/>
          <w:szCs w:val="17"/>
          <w:color w:val="auto"/>
        </w:rPr>
      </w:pPr>
    </w:p>
    <w:p>
      <w:pPr>
        <w:ind w:left="560" w:hanging="242"/>
        <w:spacing w:after="0"/>
        <w:tabs>
          <w:tab w:leader="none" w:pos="5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U.S. and China trade policies and relations, as well as relations with other countries, and/or changes in laws, regulations, and/or sanctions;</w:t>
      </w:r>
    </w:p>
    <w:p>
      <w:pPr>
        <w:spacing w:after="0" w:line="39" w:lineRule="exact"/>
        <w:rPr>
          <w:rFonts w:ascii="Times New Roman" w:cs="Times New Roman" w:eastAsia="Times New Roman" w:hAnsi="Times New Roman"/>
          <w:sz w:val="17"/>
          <w:szCs w:val="17"/>
          <w:color w:val="auto"/>
        </w:rPr>
      </w:pPr>
    </w:p>
    <w:p>
      <w:pPr>
        <w:ind w:left="540" w:hanging="222"/>
        <w:spacing w:after="0"/>
        <w:tabs>
          <w:tab w:leader="none" w:pos="5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Actions the Chinese government may take to intervene in or influence our operations;</w:t>
      </w:r>
    </w:p>
    <w:p>
      <w:pPr>
        <w:spacing w:after="0" w:line="39" w:lineRule="exact"/>
        <w:rPr>
          <w:rFonts w:ascii="Times New Roman" w:cs="Times New Roman" w:eastAsia="Times New Roman" w:hAnsi="Times New Roman"/>
          <w:sz w:val="17"/>
          <w:szCs w:val="17"/>
          <w:color w:val="auto"/>
        </w:rPr>
      </w:pPr>
    </w:p>
    <w:p>
      <w:pPr>
        <w:ind w:left="560" w:hanging="242"/>
        <w:spacing w:after="0"/>
        <w:tabs>
          <w:tab w:leader="none" w:pos="5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political, and social conditions in mainland China as well as governmental policies;</w:t>
      </w:r>
    </w:p>
    <w:p>
      <w:pPr>
        <w:spacing w:after="0" w:line="39" w:lineRule="exact"/>
        <w:rPr>
          <w:rFonts w:ascii="Times New Roman" w:cs="Times New Roman" w:eastAsia="Times New Roman" w:hAnsi="Times New Roman"/>
          <w:sz w:val="17"/>
          <w:szCs w:val="17"/>
          <w:color w:val="auto"/>
        </w:rPr>
      </w:pPr>
    </w:p>
    <w:p>
      <w:pPr>
        <w:ind w:left="640" w:right="420" w:hanging="322"/>
        <w:spacing w:after="0" w:line="288" w:lineRule="auto"/>
        <w:tabs>
          <w:tab w:leader="none" w:pos="56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business disruptions caused by events or developments outside of our control, such as pandemics, international war or conflict, natural disasters or extreme weather events, and other geopolitical events;</w:t>
      </w:r>
    </w:p>
    <w:p>
      <w:pPr>
        <w:spacing w:after="0" w:line="1" w:lineRule="exact"/>
        <w:rPr>
          <w:rFonts w:ascii="Times New Roman" w:cs="Times New Roman" w:eastAsia="Times New Roman" w:hAnsi="Times New Roman"/>
          <w:sz w:val="17"/>
          <w:szCs w:val="17"/>
          <w:color w:val="auto"/>
        </w:rPr>
      </w:pPr>
    </w:p>
    <w:p>
      <w:pPr>
        <w:ind w:left="640" w:right="280" w:hanging="322"/>
        <w:spacing w:after="0" w:line="288" w:lineRule="auto"/>
        <w:tabs>
          <w:tab w:leader="none" w:pos="56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Uncertainties in the Chinese legal system, including with respect to the anti-corruption enforcement efforts in mainland China and those addressing espionage, protection of and transfer restrictions on data, including personal information, data processing and security, and cybersecurity, and other future laws and regulations or amendments to such laws and regulations;</w:t>
      </w:r>
    </w:p>
    <w:p>
      <w:pPr>
        <w:spacing w:after="0" w:line="1" w:lineRule="exact"/>
        <w:rPr>
          <w:rFonts w:ascii="Times New Roman" w:cs="Times New Roman" w:eastAsia="Times New Roman" w:hAnsi="Times New Roman"/>
          <w:sz w:val="17"/>
          <w:szCs w:val="17"/>
          <w:color w:val="auto"/>
        </w:rPr>
      </w:pPr>
    </w:p>
    <w:p>
      <w:pPr>
        <w:ind w:left="640" w:right="560" w:hanging="322"/>
        <w:spacing w:after="0" w:line="288" w:lineRule="auto"/>
        <w:tabs>
          <w:tab w:leader="none" w:pos="55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filing, or procedural requirements imposed by the China Securities Regulatory Commission or other Chinese regulatory authorities in connection with issuing securities to foreign investors under Chinese law;</w:t>
      </w:r>
    </w:p>
    <w:p>
      <w:pPr>
        <w:spacing w:after="0" w:line="1" w:lineRule="exact"/>
        <w:rPr>
          <w:rFonts w:ascii="Times New Roman" w:cs="Times New Roman" w:eastAsia="Times New Roman" w:hAnsi="Times New Roman"/>
          <w:sz w:val="17"/>
          <w:szCs w:val="17"/>
          <w:color w:val="auto"/>
        </w:rPr>
      </w:pPr>
    </w:p>
    <w:p>
      <w:pPr>
        <w:ind w:left="540" w:hanging="222"/>
        <w:spacing w:after="0"/>
        <w:tabs>
          <w:tab w:leader="none" w:pos="5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violation or liability under the U.S. Foreign Corrupt Practices Act or Chinese anti-corruption, anti-bribery, and anti-fraud laws;</w:t>
      </w:r>
    </w:p>
    <w:p>
      <w:pPr>
        <w:spacing w:after="0" w:line="39" w:lineRule="exact"/>
        <w:rPr>
          <w:rFonts w:ascii="Times New Roman" w:cs="Times New Roman" w:eastAsia="Times New Roman" w:hAnsi="Times New Roman"/>
          <w:sz w:val="17"/>
          <w:szCs w:val="17"/>
          <w:color w:val="auto"/>
        </w:rPr>
      </w:pPr>
    </w:p>
    <w:p>
      <w:pPr>
        <w:ind w:left="560" w:hanging="242"/>
        <w:spacing w:after="0"/>
        <w:tabs>
          <w:tab w:leader="none" w:pos="5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Variations in currency exchange rates and restrictions on currency exchange;</w:t>
      </w:r>
    </w:p>
    <w:p>
      <w:pPr>
        <w:spacing w:after="0" w:line="39" w:lineRule="exact"/>
        <w:rPr>
          <w:rFonts w:ascii="Times New Roman" w:cs="Times New Roman" w:eastAsia="Times New Roman" w:hAnsi="Times New Roman"/>
          <w:sz w:val="17"/>
          <w:szCs w:val="17"/>
          <w:color w:val="auto"/>
        </w:rPr>
      </w:pPr>
    </w:p>
    <w:p>
      <w:pPr>
        <w:ind w:left="560" w:hanging="242"/>
        <w:spacing w:after="0"/>
        <w:tabs>
          <w:tab w:leader="none" w:pos="5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the ability of our Chinese subsidiaries to make payments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580390</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1217" w:right="419" w:bottom="1440" w:gutter="0" w:footer="0" w:header="0"/>
        </w:sectPr>
      </w:pPr>
    </w:p>
    <w:bookmarkStart w:id="4" w:name="page5"/>
    <w:bookmarkEnd w:id="4"/>
    <w:p>
      <w:pPr>
        <w:ind w:left="560" w:hanging="242"/>
        <w:spacing w:after="0"/>
        <w:tabs>
          <w:tab w:leader="none" w:pos="5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Chinese requirements on the ability of residents in mainland China to establish offshore special purpose companies;</w:t>
      </w:r>
    </w:p>
    <w:p>
      <w:pPr>
        <w:spacing w:after="0" w:line="39" w:lineRule="exact"/>
        <w:rPr>
          <w:rFonts w:ascii="Times New Roman" w:cs="Times New Roman" w:eastAsia="Times New Roman" w:hAnsi="Times New Roman"/>
          <w:sz w:val="17"/>
          <w:szCs w:val="17"/>
          <w:color w:val="auto"/>
        </w:rPr>
      </w:pPr>
    </w:p>
    <w:p>
      <w:pPr>
        <w:ind w:left="560" w:hanging="242"/>
        <w:spacing w:after="0"/>
        <w:tabs>
          <w:tab w:leader="none" w:pos="5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Chinese regulations regarding acquisitions of companies based in mainland China by foreign investors;</w:t>
      </w:r>
    </w:p>
    <w:p>
      <w:pPr>
        <w:spacing w:after="0" w:line="39" w:lineRule="exact"/>
        <w:rPr>
          <w:rFonts w:ascii="Times New Roman" w:cs="Times New Roman" w:eastAsia="Times New Roman" w:hAnsi="Times New Roman"/>
          <w:sz w:val="17"/>
          <w:szCs w:val="17"/>
          <w:color w:val="auto"/>
        </w:rPr>
      </w:pPr>
    </w:p>
    <w:p>
      <w:pPr>
        <w:ind w:left="560" w:hanging="242"/>
        <w:spacing w:after="0"/>
        <w:tabs>
          <w:tab w:leader="none" w:pos="5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Expiration of, or changes to, financial incentives or discretionary policies granted by local governments in mainland China;</w:t>
      </w:r>
    </w:p>
    <w:p>
      <w:pPr>
        <w:spacing w:after="0" w:line="39" w:lineRule="exact"/>
        <w:rPr>
          <w:rFonts w:ascii="Times New Roman" w:cs="Times New Roman" w:eastAsia="Times New Roman" w:hAnsi="Times New Roman"/>
          <w:sz w:val="17"/>
          <w:szCs w:val="17"/>
          <w:color w:val="auto"/>
        </w:rPr>
      </w:pPr>
    </w:p>
    <w:p>
      <w:pPr>
        <w:ind w:left="560" w:hanging="242"/>
        <w:spacing w:after="0"/>
        <w:tabs>
          <w:tab w:leader="none" w:pos="5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or limitations on the ability of overseas regulators to conduct investigations or collect evidence within mainland China;</w:t>
      </w:r>
    </w:p>
    <w:p>
      <w:pPr>
        <w:spacing w:after="0" w:line="39" w:lineRule="exact"/>
        <w:rPr>
          <w:rFonts w:ascii="Times New Roman" w:cs="Times New Roman" w:eastAsia="Times New Roman" w:hAnsi="Times New Roman"/>
          <w:sz w:val="17"/>
          <w:szCs w:val="17"/>
          <w:color w:val="auto"/>
        </w:rPr>
      </w:pPr>
    </w:p>
    <w:p>
      <w:pPr>
        <w:ind w:left="640" w:right="260" w:hanging="322"/>
        <w:spacing w:after="0" w:line="288" w:lineRule="auto"/>
        <w:tabs>
          <w:tab w:leader="none" w:pos="56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Unfavorable tax consequences to us and our non-Chinese shareholders or ADS holders if we were to be classified as a Chinese resident enterprise for Chinese income tax purposes;</w:t>
      </w:r>
    </w:p>
    <w:p>
      <w:pPr>
        <w:spacing w:after="0" w:line="1" w:lineRule="exact"/>
        <w:rPr>
          <w:rFonts w:ascii="Times New Roman" w:cs="Times New Roman" w:eastAsia="Times New Roman" w:hAnsi="Times New Roman"/>
          <w:sz w:val="17"/>
          <w:szCs w:val="17"/>
          <w:color w:val="auto"/>
        </w:rPr>
      </w:pPr>
    </w:p>
    <w:p>
      <w:pPr>
        <w:ind w:left="640" w:right="280" w:hanging="322"/>
        <w:spacing w:after="0" w:line="288" w:lineRule="auto"/>
        <w:tabs>
          <w:tab w:leader="none" w:pos="56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comply with applicable Chinese, U.S., and Hong Kong regulations that could lead to government enforcement actions, fines, other legal or administrative sanctions, and/or harm to our business or reputation;</w:t>
      </w:r>
    </w:p>
    <w:p>
      <w:pPr>
        <w:spacing w:after="0" w:line="1" w:lineRule="exact"/>
        <w:rPr>
          <w:rFonts w:ascii="Times New Roman" w:cs="Times New Roman" w:eastAsia="Times New Roman" w:hAnsi="Times New Roman"/>
          <w:sz w:val="17"/>
          <w:szCs w:val="17"/>
          <w:color w:val="auto"/>
        </w:rPr>
      </w:pPr>
    </w:p>
    <w:p>
      <w:pPr>
        <w:ind w:left="560" w:hanging="242"/>
        <w:spacing w:after="0"/>
        <w:tabs>
          <w:tab w:leader="none" w:pos="5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or obstacles for closing transactions, such as review by the CFIUS in our investments; and</w:t>
      </w:r>
    </w:p>
    <w:p>
      <w:pPr>
        <w:spacing w:after="0" w:line="39" w:lineRule="exact"/>
        <w:rPr>
          <w:rFonts w:ascii="Times New Roman" w:cs="Times New Roman" w:eastAsia="Times New Roman" w:hAnsi="Times New Roman"/>
          <w:sz w:val="17"/>
          <w:szCs w:val="17"/>
          <w:color w:val="auto"/>
        </w:rPr>
      </w:pPr>
    </w:p>
    <w:p>
      <w:pPr>
        <w:ind w:left="540" w:hanging="222"/>
        <w:spacing w:after="0"/>
        <w:tabs>
          <w:tab w:leader="none" w:pos="5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inability to renew our current leases on desirable terms or otherwise locate desirable alternatives for our leased properties.</w:t>
      </w:r>
    </w:p>
    <w:p>
      <w:pPr>
        <w:spacing w:after="0" w:line="197" w:lineRule="exact"/>
        <w:rPr>
          <w:sz w:val="20"/>
          <w:szCs w:val="20"/>
          <w:color w:val="auto"/>
        </w:rPr>
      </w:pPr>
    </w:p>
    <w:p>
      <w:pPr>
        <w:ind w:right="60" w:firstLine="470"/>
        <w:spacing w:after="0" w:line="303" w:lineRule="auto"/>
        <w:rPr>
          <w:sz w:val="20"/>
          <w:szCs w:val="20"/>
          <w:color w:val="auto"/>
        </w:rPr>
      </w:pPr>
      <w:r>
        <w:rPr>
          <w:rFonts w:ascii="Times New Roman" w:cs="Times New Roman" w:eastAsia="Times New Roman" w:hAnsi="Times New Roman"/>
          <w:sz w:val="17"/>
          <w:szCs w:val="17"/>
          <w:color w:val="auto"/>
        </w:rPr>
        <w:t>These factors should not be construed as exhaustive and should be read with the other cautionary statements and information in our Annual Report on Form 10-K for the year ended December 31, 2025 (the “2025 Annual Report”), our Quarterly Reports on Form 10-Q, and our other filings with the U.S. Securities and Exchange Commission. Forward-looking statements are based on our management’s beliefs and assumptions and information currently available to our management. These statements, like all statements in this report, speak only as of their date. We anticipate that subsequent events and developments will cause our expectations and assumptions to change, and we undertake no obligation to update or revise any forward-looking statements, whether as a result of new information, future events, or otherwise, except as may be required by law. These forward-looking statements should not be relied upon as representing our views as of any date subsequent to the date of this report.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Usage of Terms</w:t>
      </w:r>
    </w:p>
    <w:p>
      <w:pPr>
        <w:spacing w:after="0" w:line="186" w:lineRule="exact"/>
        <w:rPr>
          <w:sz w:val="20"/>
          <w:szCs w:val="20"/>
          <w:color w:val="auto"/>
        </w:rPr>
      </w:pPr>
    </w:p>
    <w:p>
      <w:pPr>
        <w:ind w:right="400" w:firstLine="470"/>
        <w:spacing w:after="0" w:line="316" w:lineRule="auto"/>
        <w:rPr>
          <w:sz w:val="20"/>
          <w:szCs w:val="20"/>
          <w:color w:val="auto"/>
        </w:rPr>
      </w:pPr>
      <w:r>
        <w:rPr>
          <w:rFonts w:ascii="Times New Roman" w:cs="Times New Roman" w:eastAsia="Times New Roman" w:hAnsi="Times New Roman"/>
          <w:sz w:val="17"/>
          <w:szCs w:val="17"/>
          <w:color w:val="auto"/>
        </w:rPr>
        <w:t>Throughout this report, we use certain acronyms and terms that are defined in the Glossary of our 2025 Annual Report. References to “Zai Lab,” the “Company,” “we,” “us,” and “our” refer to Zai Lab Limited, a holding company, and its subsidiaries, on a consolidated basis; and references to “Zai Lab Limited” refer to Zai Lab Limited, a holding company. Zai Lab Limited is the entity in which investors hold their interest.</w:t>
      </w:r>
    </w:p>
    <w:p>
      <w:pPr>
        <w:spacing w:after="0" w:line="103" w:lineRule="exact"/>
        <w:rPr>
          <w:sz w:val="20"/>
          <w:szCs w:val="20"/>
          <w:color w:val="auto"/>
        </w:rPr>
      </w:pPr>
    </w:p>
    <w:p>
      <w:pPr>
        <w:ind w:right="80" w:firstLine="470"/>
        <w:spacing w:after="0" w:line="308" w:lineRule="auto"/>
        <w:rPr>
          <w:sz w:val="20"/>
          <w:szCs w:val="20"/>
          <w:color w:val="auto"/>
        </w:rPr>
      </w:pPr>
      <w:r>
        <w:rPr>
          <w:rFonts w:ascii="Times New Roman" w:cs="Times New Roman" w:eastAsia="Times New Roman" w:hAnsi="Times New Roman"/>
          <w:sz w:val="17"/>
          <w:szCs w:val="17"/>
          <w:color w:val="auto"/>
        </w:rPr>
        <w:t>Our operating subsidiaries consist of Zai Lab (Hong Kong) Limited, domiciled in Hong Kong; Zai Auto Immune (Hong Kong) Limited, domiciled in Hong Kong; Zai Anti Infectives (Hong Kong) Limited, domiciled in Hong Kong; Zai Lab (Shanghai) Co., Ltd., domiciled in mainland China; Zai Lab International Trading (Shanghai) Co., Ltd., domiciled in mainland China; Zai Lab (Suzhou) Co., Ltd., domiciled in mainland China; Zai Biopharmaceutical (Suzhou) Co., Ltd., domiciled in mainland China; Zai Lab Trading (Suzhou) Co., Ltd., domiciled in mainland China; Zai Lab (Zhejiang) Co., Ltd., domiciled in mainland China; Zai Lab (Taiwan) Limited, domiciled in Taiwan; Zai Lab (AUST) Pty. Ltd., domiciled in Australia; and Zai Lab (US) LLC, domiciled in the United States.</w:t>
      </w:r>
    </w:p>
    <w:p>
      <w:pPr>
        <w:spacing w:after="0" w:line="366" w:lineRule="exact"/>
        <w:rPr>
          <w:sz w:val="20"/>
          <w:szCs w:val="20"/>
          <w:color w:val="auto"/>
        </w:rPr>
      </w:pPr>
    </w:p>
    <w:p>
      <w:pPr>
        <w:ind w:firstLine="470"/>
        <w:spacing w:after="0" w:line="285" w:lineRule="auto"/>
        <w:rPr>
          <w:sz w:val="20"/>
          <w:szCs w:val="20"/>
          <w:color w:val="auto"/>
        </w:rPr>
      </w:pPr>
      <w:r>
        <w:rPr>
          <w:rFonts w:ascii="Times New Roman" w:cs="Times New Roman" w:eastAsia="Times New Roman" w:hAnsi="Times New Roman"/>
          <w:sz w:val="17"/>
          <w:szCs w:val="17"/>
          <w:color w:val="auto"/>
        </w:rPr>
        <w:t xml:space="preserve">We own various trademarks, including various forms of the Zai Lab brand (in English and Chinese), as well as several domain names that incorporate such trademarks. Trademarks and trade names of other companies appearing in this report are the property of their respective holders. Solely for convenience, some of the trademarks and trade names in this report are referred to without the </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and ™ symbols, but such references should not be construed as any indicator that their respective owners will not assert, to the fullest extent under applicable law, their rights thereto. We do not intend our use or display of other companies’ trademarks and trade names to imply a relationship with, or endorsement or sponsorship of, any other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537845</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sectPr>
      </w:pPr>
    </w:p>
    <w:bookmarkStart w:id="5" w:name="page6"/>
    <w:bookmarkEnd w:id="5"/>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223" w:lineRule="exact"/>
        <w:rPr>
          <w:sz w:val="20"/>
          <w:szCs w:val="20"/>
          <w:color w:val="auto"/>
        </w:rPr>
      </w:pPr>
    </w:p>
    <w:p>
      <w:pPr>
        <w:ind w:firstLine="470"/>
        <w:spacing w:after="0" w:line="277"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the unaudited condensed consolidated financial statements and the accompanying notes included in this report and the audited consolidated financial information and the accompanying notes included in our 2025 Annual Report.</w:t>
      </w:r>
    </w:p>
    <w:p>
      <w:pPr>
        <w:spacing w:after="0" w:line="200" w:lineRule="exact"/>
        <w:rPr>
          <w:sz w:val="20"/>
          <w:szCs w:val="20"/>
          <w:color w:val="auto"/>
        </w:rPr>
      </w:pPr>
    </w:p>
    <w:p>
      <w:pPr>
        <w:spacing w:after="0" w:line="34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1217" w:right="4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Zai Lab Limited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Unaudited Condensed Consolidated Balance Sheets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of U.S. dollars (“$”), except for number of shares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3"/>
                <w:szCs w:val="13"/>
                <w:color w:val="auto"/>
              </w:rPr>
            </w:pPr>
          </w:p>
        </w:tc>
        <w:tc>
          <w:tcPr>
            <w:tcW w:w="9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56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73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80" w:type="dxa"/>
            <w:vAlign w:val="bottom"/>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1480" w:type="dxa"/>
            <w:vAlign w:val="bottom"/>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1"/>
        </w:trPr>
        <w:tc>
          <w:tcPr>
            <w:tcW w:w="7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651,316</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679,573</w:t>
            </w:r>
          </w:p>
        </w:tc>
        <w:tc>
          <w:tcPr>
            <w:tcW w:w="0" w:type="dxa"/>
            <w:vAlign w:val="bottom"/>
          </w:tcPr>
          <w:p>
            <w:pPr>
              <w:spacing w:after="0"/>
              <w:rPr>
                <w:sz w:val="1"/>
                <w:szCs w:val="1"/>
                <w:color w:val="auto"/>
              </w:rPr>
            </w:pPr>
          </w:p>
        </w:tc>
      </w:tr>
      <w:tr>
        <w:trPr>
          <w:trHeight w:val="189"/>
        </w:trPr>
        <w:tc>
          <w:tcPr>
            <w:tcW w:w="7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Restricted cash, current</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Short-term investments</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74"/>
        </w:trPr>
        <w:tc>
          <w:tcPr>
            <w:tcW w:w="7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 (net of allowance for credit losses of $16 and $31 as of March 31, 2026 and December 31, 2025,</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3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respectively)</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54,069</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106,116</w:t>
            </w:r>
          </w:p>
        </w:tc>
        <w:tc>
          <w:tcPr>
            <w:tcW w:w="0" w:type="dxa"/>
            <w:vAlign w:val="bottom"/>
          </w:tcPr>
          <w:p>
            <w:pPr>
              <w:spacing w:after="0"/>
              <w:rPr>
                <w:sz w:val="1"/>
                <w:szCs w:val="1"/>
                <w:color w:val="auto"/>
              </w:rPr>
            </w:pPr>
          </w:p>
        </w:tc>
      </w:tr>
      <w:tr>
        <w:trPr>
          <w:trHeight w:val="23"/>
        </w:trPr>
        <w:tc>
          <w:tcPr>
            <w:tcW w:w="7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Notes receivable</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7,929</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12,169</w:t>
            </w:r>
          </w:p>
        </w:tc>
        <w:tc>
          <w:tcPr>
            <w:tcW w:w="0" w:type="dxa"/>
            <w:vAlign w:val="bottom"/>
          </w:tcPr>
          <w:p>
            <w:pPr>
              <w:spacing w:after="0"/>
              <w:rPr>
                <w:sz w:val="1"/>
                <w:szCs w:val="1"/>
                <w:color w:val="auto"/>
              </w:rPr>
            </w:pPr>
          </w:p>
        </w:tc>
      </w:tr>
      <w:tr>
        <w:trPr>
          <w:trHeight w:val="189"/>
        </w:trPr>
        <w:tc>
          <w:tcPr>
            <w:tcW w:w="7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Inventories, net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85,961</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74,745</w:t>
            </w: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Prepayments and other current assets</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35,454</w:t>
            </w:r>
          </w:p>
        </w:tc>
        <w:tc>
          <w:tcPr>
            <w:tcW w:w="8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36,683</w:t>
            </w:r>
          </w:p>
        </w:tc>
        <w:tc>
          <w:tcPr>
            <w:tcW w:w="0" w:type="dxa"/>
            <w:vAlign w:val="bottom"/>
          </w:tcPr>
          <w:p>
            <w:pPr>
              <w:spacing w:after="0"/>
              <w:rPr>
                <w:sz w:val="1"/>
                <w:szCs w:val="1"/>
                <w:color w:val="auto"/>
              </w:rPr>
            </w:pPr>
          </w:p>
        </w:tc>
      </w:tr>
      <w:tr>
        <w:trPr>
          <w:trHeight w:val="182"/>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944,729</w:t>
            </w:r>
          </w:p>
        </w:tc>
        <w:tc>
          <w:tcPr>
            <w:tcW w:w="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1,019,286</w:t>
            </w: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Restricted cash, non-current</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w:t>
            </w:r>
          </w:p>
        </w:tc>
        <w:tc>
          <w:tcPr>
            <w:tcW w:w="0" w:type="dxa"/>
            <w:vAlign w:val="bottom"/>
          </w:tcPr>
          <w:p>
            <w:pPr>
              <w:spacing w:after="0"/>
              <w:rPr>
                <w:sz w:val="1"/>
                <w:szCs w:val="1"/>
                <w:color w:val="auto"/>
              </w:rPr>
            </w:pPr>
          </w:p>
        </w:tc>
      </w:tr>
      <w:tr>
        <w:trPr>
          <w:trHeight w:val="189"/>
        </w:trPr>
        <w:tc>
          <w:tcPr>
            <w:tcW w:w="7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47,067</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47,389</w:t>
            </w: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17,585</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19,152</w:t>
            </w:r>
          </w:p>
        </w:tc>
        <w:tc>
          <w:tcPr>
            <w:tcW w:w="0" w:type="dxa"/>
            <w:vAlign w:val="bottom"/>
          </w:tcPr>
          <w:p>
            <w:pPr>
              <w:spacing w:after="0"/>
              <w:rPr>
                <w:sz w:val="1"/>
                <w:szCs w:val="1"/>
                <w:color w:val="auto"/>
              </w:rPr>
            </w:pPr>
          </w:p>
        </w:tc>
      </w:tr>
      <w:tr>
        <w:trPr>
          <w:trHeight w:val="189"/>
        </w:trPr>
        <w:tc>
          <w:tcPr>
            <w:tcW w:w="7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Land use rights, net</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2,868</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2,853</w:t>
            </w: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Intangible assets, net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6</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75,759</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76,144</w:t>
            </w:r>
          </w:p>
        </w:tc>
        <w:tc>
          <w:tcPr>
            <w:tcW w:w="0" w:type="dxa"/>
            <w:vAlign w:val="bottom"/>
          </w:tcPr>
          <w:p>
            <w:pPr>
              <w:spacing w:after="0"/>
              <w:rPr>
                <w:sz w:val="1"/>
                <w:szCs w:val="1"/>
                <w:color w:val="auto"/>
              </w:rPr>
            </w:pPr>
          </w:p>
        </w:tc>
      </w:tr>
      <w:tr>
        <w:trPr>
          <w:trHeight w:val="189"/>
        </w:trPr>
        <w:tc>
          <w:tcPr>
            <w:tcW w:w="7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Deferred tax assets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3,444</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3,390</w:t>
            </w:r>
          </w:p>
        </w:tc>
        <w:tc>
          <w:tcPr>
            <w:tcW w:w="0" w:type="dxa"/>
            <w:vAlign w:val="bottom"/>
          </w:tcPr>
          <w:p>
            <w:pPr>
              <w:spacing w:after="0"/>
              <w:rPr>
                <w:sz w:val="1"/>
                <w:szCs w:val="1"/>
                <w:color w:val="auto"/>
              </w:rPr>
            </w:pPr>
          </w:p>
        </w:tc>
      </w:tr>
      <w:tr>
        <w:trPr>
          <w:trHeight w:val="196"/>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non-current assets</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3,168</w:t>
            </w:r>
          </w:p>
        </w:tc>
        <w:tc>
          <w:tcPr>
            <w:tcW w:w="8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3,054</w:t>
            </w:r>
          </w:p>
        </w:tc>
        <w:tc>
          <w:tcPr>
            <w:tcW w:w="0" w:type="dxa"/>
            <w:vAlign w:val="bottom"/>
          </w:tcPr>
          <w:p>
            <w:pPr>
              <w:spacing w:after="0"/>
              <w:rPr>
                <w:sz w:val="1"/>
                <w:szCs w:val="1"/>
                <w:color w:val="auto"/>
              </w:rPr>
            </w:pPr>
          </w:p>
        </w:tc>
      </w:tr>
      <w:tr>
        <w:trPr>
          <w:trHeight w:val="196"/>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1,095,737</w:t>
            </w:r>
          </w:p>
        </w:tc>
        <w:tc>
          <w:tcPr>
            <w:tcW w:w="80" w:type="dxa"/>
            <w:vAlign w:val="bottom"/>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1,172,384</w:t>
            </w:r>
          </w:p>
        </w:tc>
        <w:tc>
          <w:tcPr>
            <w:tcW w:w="0" w:type="dxa"/>
            <w:vAlign w:val="bottom"/>
          </w:tcPr>
          <w:p>
            <w:pPr>
              <w:spacing w:after="0"/>
              <w:rPr>
                <w:sz w:val="1"/>
                <w:szCs w:val="1"/>
                <w:color w:val="auto"/>
              </w:rPr>
            </w:pP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126,169</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141,608</w:t>
            </w:r>
          </w:p>
        </w:tc>
        <w:tc>
          <w:tcPr>
            <w:tcW w:w="0" w:type="dxa"/>
            <w:vAlign w:val="bottom"/>
          </w:tcPr>
          <w:p>
            <w:pPr>
              <w:spacing w:after="0"/>
              <w:rPr>
                <w:sz w:val="1"/>
                <w:szCs w:val="1"/>
                <w:color w:val="auto"/>
              </w:rPr>
            </w:pPr>
          </w:p>
        </w:tc>
      </w:tr>
      <w:tr>
        <w:trPr>
          <w:trHeight w:val="189"/>
        </w:trPr>
        <w:tc>
          <w:tcPr>
            <w:tcW w:w="7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Current operating lease liabilities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5,983</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6,344</w:t>
            </w: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Short-term debt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10</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213,819</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204,530</w:t>
            </w:r>
          </w:p>
        </w:tc>
        <w:tc>
          <w:tcPr>
            <w:tcW w:w="0" w:type="dxa"/>
            <w:vAlign w:val="bottom"/>
          </w:tcPr>
          <w:p>
            <w:pPr>
              <w:spacing w:after="0"/>
              <w:rPr>
                <w:sz w:val="1"/>
                <w:szCs w:val="1"/>
                <w:color w:val="auto"/>
              </w:rPr>
            </w:pPr>
          </w:p>
        </w:tc>
      </w:tr>
      <w:tr>
        <w:trPr>
          <w:trHeight w:val="189"/>
        </w:trPr>
        <w:tc>
          <w:tcPr>
            <w:tcW w:w="7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11</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47,011</w:t>
            </w:r>
          </w:p>
        </w:tc>
        <w:tc>
          <w:tcPr>
            <w:tcW w:w="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63,684</w:t>
            </w:r>
          </w:p>
        </w:tc>
        <w:tc>
          <w:tcPr>
            <w:tcW w:w="0" w:type="dxa"/>
            <w:vAlign w:val="bottom"/>
          </w:tcPr>
          <w:p>
            <w:pPr>
              <w:spacing w:after="0"/>
              <w:rPr>
                <w:sz w:val="1"/>
                <w:szCs w:val="1"/>
                <w:color w:val="auto"/>
              </w:rPr>
            </w:pPr>
          </w:p>
        </w:tc>
      </w:tr>
      <w:tr>
        <w:trPr>
          <w:trHeight w:val="196"/>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392,982</w:t>
            </w:r>
          </w:p>
        </w:tc>
        <w:tc>
          <w:tcPr>
            <w:tcW w:w="8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416,166</w:t>
            </w:r>
          </w:p>
        </w:tc>
        <w:tc>
          <w:tcPr>
            <w:tcW w:w="0" w:type="dxa"/>
            <w:vAlign w:val="bottom"/>
          </w:tcPr>
          <w:p>
            <w:pPr>
              <w:spacing w:after="0"/>
              <w:rPr>
                <w:sz w:val="1"/>
                <w:szCs w:val="1"/>
                <w:color w:val="auto"/>
              </w:rPr>
            </w:pPr>
          </w:p>
        </w:tc>
      </w:tr>
      <w:tr>
        <w:trPr>
          <w:trHeight w:val="182"/>
        </w:trPr>
        <w:tc>
          <w:tcPr>
            <w:tcW w:w="7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Deferred income</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28,627</w:t>
            </w:r>
          </w:p>
        </w:tc>
        <w:tc>
          <w:tcPr>
            <w:tcW w:w="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27,333</w:t>
            </w: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Non-current operating lease liabilities</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12,107</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13,385</w:t>
            </w:r>
          </w:p>
        </w:tc>
        <w:tc>
          <w:tcPr>
            <w:tcW w:w="0" w:type="dxa"/>
            <w:vAlign w:val="bottom"/>
          </w:tcPr>
          <w:p>
            <w:pPr>
              <w:spacing w:after="0"/>
              <w:rPr>
                <w:sz w:val="1"/>
                <w:szCs w:val="1"/>
                <w:color w:val="auto"/>
              </w:rPr>
            </w:pPr>
          </w:p>
        </w:tc>
      </w:tr>
      <w:tr>
        <w:trPr>
          <w:trHeight w:val="189"/>
        </w:trPr>
        <w:tc>
          <w:tcPr>
            <w:tcW w:w="73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433,756</w:t>
            </w:r>
          </w:p>
        </w:tc>
        <w:tc>
          <w:tcPr>
            <w:tcW w:w="80" w:type="dxa"/>
            <w:vAlign w:val="bottom"/>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456,884</w:t>
            </w:r>
          </w:p>
        </w:tc>
        <w:tc>
          <w:tcPr>
            <w:tcW w:w="0" w:type="dxa"/>
            <w:vAlign w:val="bottom"/>
          </w:tcPr>
          <w:p>
            <w:pPr>
              <w:spacing w:after="0"/>
              <w:rPr>
                <w:sz w:val="1"/>
                <w:szCs w:val="1"/>
                <w:color w:val="auto"/>
              </w:rPr>
            </w:pPr>
          </w:p>
        </w:tc>
      </w:tr>
      <w:tr>
        <w:trPr>
          <w:trHeight w:val="166"/>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 (Note 17)</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7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7300" w:type="dxa"/>
            <w:vAlign w:val="bottom"/>
          </w:tcPr>
          <w:p>
            <w:pPr>
              <w:ind w:left="640"/>
              <w:spacing w:after="0"/>
              <w:rPr>
                <w:sz w:val="20"/>
                <w:szCs w:val="20"/>
                <w:color w:val="auto"/>
              </w:rPr>
            </w:pPr>
            <w:r>
              <w:rPr>
                <w:rFonts w:ascii="Times New Roman" w:cs="Times New Roman" w:eastAsia="Times New Roman" w:hAnsi="Times New Roman"/>
                <w:sz w:val="14"/>
                <w:szCs w:val="14"/>
                <w:color w:val="auto"/>
                <w:w w:val="99"/>
              </w:rPr>
              <w:t>Ordinary shares (par value of $0.000006 per share; 5,000,000,000 shares authorized; 1,118,835,190 and 1,113,822,550</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73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shares issued as of March 31, 2026 and December 31, 2025, respectively; 1,110,232,620 and 1,106,389,340 shares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3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outstanding as of March 31, 2026 and December 31, 2025, respectively)</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3"/>
        </w:trPr>
        <w:tc>
          <w:tcPr>
            <w:tcW w:w="7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7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3,357,826</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3,343,469</w:t>
            </w:r>
          </w:p>
        </w:tc>
        <w:tc>
          <w:tcPr>
            <w:tcW w:w="0" w:type="dxa"/>
            <w:vAlign w:val="bottom"/>
          </w:tcPr>
          <w:p>
            <w:pPr>
              <w:spacing w:after="0"/>
              <w:rPr>
                <w:sz w:val="1"/>
                <w:szCs w:val="1"/>
                <w:color w:val="auto"/>
              </w:rPr>
            </w:pPr>
          </w:p>
        </w:tc>
      </w:tr>
      <w:tr>
        <w:trPr>
          <w:trHeight w:val="189"/>
        </w:trPr>
        <w:tc>
          <w:tcPr>
            <w:tcW w:w="730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Accumulated deficit</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(2,679,636)</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(2,628,620)</w:t>
            </w: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15,105</w:t>
            </w:r>
          </w:p>
        </w:tc>
        <w:tc>
          <w:tcPr>
            <w:tcW w:w="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29,697</w:t>
            </w:r>
          </w:p>
        </w:tc>
        <w:tc>
          <w:tcPr>
            <w:tcW w:w="0" w:type="dxa"/>
            <w:vAlign w:val="bottom"/>
          </w:tcPr>
          <w:p>
            <w:pPr>
              <w:spacing w:after="0"/>
              <w:rPr>
                <w:sz w:val="1"/>
                <w:szCs w:val="1"/>
                <w:color w:val="auto"/>
              </w:rPr>
            </w:pPr>
          </w:p>
        </w:tc>
      </w:tr>
      <w:tr>
        <w:trPr>
          <w:trHeight w:val="199"/>
        </w:trPr>
        <w:tc>
          <w:tcPr>
            <w:tcW w:w="730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Treasury Stock (at cost, 8,602,570 and 7,433,210 shares as of March 31, 2026 and December 31, 2025, respectively)</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(31,321)</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(29,053)</w:t>
            </w:r>
          </w:p>
        </w:tc>
        <w:tc>
          <w:tcPr>
            <w:tcW w:w="0" w:type="dxa"/>
            <w:vAlign w:val="bottom"/>
          </w:tcPr>
          <w:p>
            <w:pPr>
              <w:spacing w:after="0"/>
              <w:rPr>
                <w:sz w:val="1"/>
                <w:szCs w:val="1"/>
                <w:color w:val="auto"/>
              </w:rPr>
            </w:pPr>
          </w:p>
        </w:tc>
      </w:tr>
      <w:tr>
        <w:trPr>
          <w:trHeight w:val="23"/>
        </w:trPr>
        <w:tc>
          <w:tcPr>
            <w:tcW w:w="73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661,981</w:t>
            </w:r>
          </w:p>
        </w:tc>
        <w:tc>
          <w:tcPr>
            <w:tcW w:w="80" w:type="dxa"/>
            <w:vAlign w:val="bottom"/>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715,500</w:t>
            </w:r>
          </w:p>
        </w:tc>
        <w:tc>
          <w:tcPr>
            <w:tcW w:w="0" w:type="dxa"/>
            <w:vAlign w:val="bottom"/>
          </w:tcPr>
          <w:p>
            <w:pPr>
              <w:spacing w:after="0"/>
              <w:rPr>
                <w:sz w:val="1"/>
                <w:szCs w:val="1"/>
                <w:color w:val="auto"/>
              </w:rPr>
            </w:pPr>
          </w:p>
        </w:tc>
      </w:tr>
      <w:tr>
        <w:trPr>
          <w:trHeight w:val="195"/>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1,095,737</w:t>
            </w:r>
          </w:p>
        </w:tc>
        <w:tc>
          <w:tcPr>
            <w:tcW w:w="80" w:type="dxa"/>
            <w:vAlign w:val="bottom"/>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1,172,384</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color w:val="auto"/>
        </w:rPr>
        <w:t>Zai Lab Limited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of $, except for number of shares and per share data)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0" w:type="dxa"/>
            <w:vAlign w:val="bottom"/>
            <w:tcBorders>
              <w:bottom w:val="single" w:sz="8" w:color="auto"/>
            </w:tcBorders>
            <w:gridSpan w:val="3"/>
          </w:tcPr>
          <w:p>
            <w:pPr>
              <w:jc w:val="right"/>
              <w:ind w:right="113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07"/>
        </w:trPr>
        <w:tc>
          <w:tcPr>
            <w:tcW w:w="5920" w:type="dxa"/>
            <w:vAlign w:val="bottom"/>
          </w:tcPr>
          <w:p>
            <w:pPr>
              <w:spacing w:after="0"/>
              <w:rPr>
                <w:sz w:val="17"/>
                <w:szCs w:val="17"/>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2260" w:type="dxa"/>
            <w:vAlign w:val="bottom"/>
          </w:tcPr>
          <w:p>
            <w:pPr>
              <w:jc w:val="right"/>
              <w:ind w:right="894"/>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7"/>
                <w:szCs w:val="17"/>
                <w:color w:val="auto"/>
              </w:rPr>
            </w:pPr>
          </w:p>
        </w:tc>
        <w:tc>
          <w:tcPr>
            <w:tcW w:w="2260" w:type="dxa"/>
            <w:vAlign w:val="bottom"/>
          </w:tcPr>
          <w:p>
            <w:pPr>
              <w:jc w:val="right"/>
              <w:ind w:right="893"/>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04"/>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Product revenue, net</w:t>
            </w: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95,556</w:t>
            </w:r>
          </w:p>
        </w:tc>
        <w:tc>
          <w:tcPr>
            <w:tcW w:w="8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105,650</w:t>
            </w:r>
          </w:p>
        </w:tc>
        <w:tc>
          <w:tcPr>
            <w:tcW w:w="0" w:type="dxa"/>
            <w:vAlign w:val="bottom"/>
          </w:tcPr>
          <w:p>
            <w:pPr>
              <w:spacing w:after="0"/>
              <w:rPr>
                <w:sz w:val="1"/>
                <w:szCs w:val="1"/>
                <w:color w:val="auto"/>
              </w:rPr>
            </w:pPr>
          </w:p>
        </w:tc>
      </w:tr>
      <w:tr>
        <w:trPr>
          <w:trHeight w:val="222"/>
        </w:trPr>
        <w:tc>
          <w:tcPr>
            <w:tcW w:w="5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Collaboration revenue</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4,055</w:t>
            </w:r>
          </w:p>
        </w:tc>
        <w:tc>
          <w:tcPr>
            <w:tcW w:w="80" w:type="dxa"/>
            <w:vAlign w:val="bottom"/>
            <w:tcBorders>
              <w:bottom w:val="single" w:sz="8" w:color="auto"/>
            </w:tcBorders>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w:t>
            </w:r>
          </w:p>
        </w:tc>
        <w:tc>
          <w:tcPr>
            <w:tcW w:w="0" w:type="dxa"/>
            <w:vAlign w:val="bottom"/>
          </w:tcPr>
          <w:p>
            <w:pPr>
              <w:spacing w:after="0"/>
              <w:rPr>
                <w:sz w:val="1"/>
                <w:szCs w:val="1"/>
                <w:color w:val="auto"/>
              </w:rPr>
            </w:pPr>
          </w:p>
        </w:tc>
      </w:tr>
      <w:tr>
        <w:trPr>
          <w:trHeight w:val="215"/>
        </w:trPr>
        <w:tc>
          <w:tcPr>
            <w:tcW w:w="5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99,611</w:t>
            </w:r>
          </w:p>
        </w:tc>
        <w:tc>
          <w:tcPr>
            <w:tcW w:w="8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106,487</w:t>
            </w:r>
          </w:p>
        </w:tc>
        <w:tc>
          <w:tcPr>
            <w:tcW w:w="0" w:type="dxa"/>
            <w:vAlign w:val="bottom"/>
          </w:tcPr>
          <w:p>
            <w:pPr>
              <w:spacing w:after="0"/>
              <w:rPr>
                <w:sz w:val="1"/>
                <w:szCs w:val="1"/>
                <w:color w:val="auto"/>
              </w:rPr>
            </w:pPr>
          </w:p>
        </w:tc>
      </w:tr>
      <w:tr>
        <w:trPr>
          <w:trHeight w:val="222"/>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Cost of product revenue</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(38,315)</w:t>
            </w:r>
          </w:p>
        </w:tc>
        <w:tc>
          <w:tcPr>
            <w:tcW w:w="8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(38,452)</w:t>
            </w:r>
          </w:p>
        </w:tc>
        <w:tc>
          <w:tcPr>
            <w:tcW w:w="0" w:type="dxa"/>
            <w:vAlign w:val="bottom"/>
          </w:tcPr>
          <w:p>
            <w:pPr>
              <w:spacing w:after="0"/>
              <w:rPr>
                <w:sz w:val="1"/>
                <w:szCs w:val="1"/>
                <w:color w:val="auto"/>
              </w:rPr>
            </w:pPr>
          </w:p>
        </w:tc>
      </w:tr>
      <w:tr>
        <w:trPr>
          <w:trHeight w:val="222"/>
        </w:trPr>
        <w:tc>
          <w:tcPr>
            <w:tcW w:w="5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Cost of collaboration revenue</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0" w:type="dxa"/>
            <w:vAlign w:val="bottom"/>
          </w:tcPr>
          <w:p>
            <w:pPr>
              <w:spacing w:after="0"/>
              <w:rPr>
                <w:sz w:val="1"/>
                <w:szCs w:val="1"/>
                <w:color w:val="auto"/>
              </w:rPr>
            </w:pPr>
          </w:p>
        </w:tc>
      </w:tr>
      <w:tr>
        <w:trPr>
          <w:trHeight w:val="222"/>
        </w:trPr>
        <w:tc>
          <w:tcPr>
            <w:tcW w:w="5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(65,591)</w:t>
            </w:r>
          </w:p>
        </w:tc>
        <w:tc>
          <w:tcPr>
            <w:tcW w:w="8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(60,729)</w:t>
            </w:r>
          </w:p>
        </w:tc>
        <w:tc>
          <w:tcPr>
            <w:tcW w:w="0" w:type="dxa"/>
            <w:vAlign w:val="bottom"/>
          </w:tcPr>
          <w:p>
            <w:pPr>
              <w:spacing w:after="0"/>
              <w:rPr>
                <w:sz w:val="1"/>
                <w:szCs w:val="1"/>
                <w:color w:val="auto"/>
              </w:rPr>
            </w:pPr>
          </w:p>
        </w:tc>
      </w:tr>
      <w:tr>
        <w:trPr>
          <w:trHeight w:val="222"/>
        </w:trPr>
        <w:tc>
          <w:tcPr>
            <w:tcW w:w="5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(65,070)</w:t>
            </w:r>
          </w:p>
        </w:tc>
        <w:tc>
          <w:tcPr>
            <w:tcW w:w="80" w:type="dxa"/>
            <w:vAlign w:val="bottom"/>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(63,422)</w:t>
            </w:r>
          </w:p>
        </w:tc>
        <w:tc>
          <w:tcPr>
            <w:tcW w:w="0" w:type="dxa"/>
            <w:vAlign w:val="bottom"/>
          </w:tcPr>
          <w:p>
            <w:pPr>
              <w:spacing w:after="0"/>
              <w:rPr>
                <w:sz w:val="1"/>
                <w:szCs w:val="1"/>
                <w:color w:val="auto"/>
              </w:rPr>
            </w:pPr>
          </w:p>
        </w:tc>
      </w:tr>
      <w:tr>
        <w:trPr>
          <w:trHeight w:val="215"/>
        </w:trPr>
        <w:tc>
          <w:tcPr>
            <w:tcW w:w="5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(69,385)</w:t>
            </w:r>
          </w:p>
        </w:tc>
        <w:tc>
          <w:tcPr>
            <w:tcW w:w="8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(56,311)</w:t>
            </w:r>
          </w:p>
        </w:tc>
        <w:tc>
          <w:tcPr>
            <w:tcW w:w="0" w:type="dxa"/>
            <w:vAlign w:val="bottom"/>
          </w:tcPr>
          <w:p>
            <w:pPr>
              <w:spacing w:after="0"/>
              <w:rPr>
                <w:sz w:val="1"/>
                <w:szCs w:val="1"/>
                <w:color w:val="auto"/>
              </w:rPr>
            </w:pPr>
          </w:p>
        </w:tc>
      </w:tr>
      <w:tr>
        <w:trPr>
          <w:trHeight w:val="222"/>
        </w:trPr>
        <w:tc>
          <w:tcPr>
            <w:tcW w:w="5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income</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6,447</w:t>
            </w:r>
          </w:p>
        </w:tc>
        <w:tc>
          <w:tcPr>
            <w:tcW w:w="8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8,606</w:t>
            </w:r>
          </w:p>
        </w:tc>
        <w:tc>
          <w:tcPr>
            <w:tcW w:w="0" w:type="dxa"/>
            <w:vAlign w:val="bottom"/>
          </w:tcPr>
          <w:p>
            <w:pPr>
              <w:spacing w:after="0"/>
              <w:rPr>
                <w:sz w:val="1"/>
                <w:szCs w:val="1"/>
                <w:color w:val="auto"/>
              </w:rPr>
            </w:pPr>
          </w:p>
        </w:tc>
      </w:tr>
      <w:tr>
        <w:trPr>
          <w:trHeight w:val="222"/>
        </w:trPr>
        <w:tc>
          <w:tcPr>
            <w:tcW w:w="5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Interest expenses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(1,637)</w:t>
            </w:r>
          </w:p>
        </w:tc>
        <w:tc>
          <w:tcPr>
            <w:tcW w:w="8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(1,187)</w:t>
            </w:r>
          </w:p>
        </w:tc>
        <w:tc>
          <w:tcPr>
            <w:tcW w:w="0" w:type="dxa"/>
            <w:vAlign w:val="bottom"/>
          </w:tcPr>
          <w:p>
            <w:pPr>
              <w:spacing w:after="0"/>
              <w:rPr>
                <w:sz w:val="1"/>
                <w:szCs w:val="1"/>
                <w:color w:val="auto"/>
              </w:rPr>
            </w:pPr>
          </w:p>
        </w:tc>
      </w:tr>
      <w:tr>
        <w:trPr>
          <w:trHeight w:val="222"/>
        </w:trPr>
        <w:tc>
          <w:tcPr>
            <w:tcW w:w="5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Foreign currency gains</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14,837</w:t>
            </w:r>
          </w:p>
        </w:tc>
        <w:tc>
          <w:tcPr>
            <w:tcW w:w="8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w:t>
            </w:r>
          </w:p>
        </w:tc>
        <w:tc>
          <w:tcPr>
            <w:tcW w:w="0" w:type="dxa"/>
            <w:vAlign w:val="bottom"/>
          </w:tcPr>
          <w:p>
            <w:pPr>
              <w:spacing w:after="0"/>
              <w:rPr>
                <w:sz w:val="1"/>
                <w:szCs w:val="1"/>
                <w:color w:val="auto"/>
              </w:rPr>
            </w:pPr>
          </w:p>
        </w:tc>
      </w:tr>
      <w:tr>
        <w:trPr>
          <w:trHeight w:val="222"/>
        </w:trPr>
        <w:tc>
          <w:tcPr>
            <w:tcW w:w="59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Other income (expense), net</w:t>
            </w:r>
          </w:p>
        </w:tc>
        <w:tc>
          <w:tcPr>
            <w:tcW w:w="6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Borders>
              <w:bottom w:val="single" w:sz="8" w:color="CCEEFF"/>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80" w:type="dxa"/>
            <w:vAlign w:val="bottom"/>
            <w:tcBorders>
              <w:bottom w:val="single" w:sz="8" w:color="CCEEFF"/>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0" w:type="dxa"/>
            <w:vAlign w:val="bottom"/>
          </w:tcPr>
          <w:p>
            <w:pPr>
              <w:spacing w:after="0"/>
              <w:rPr>
                <w:sz w:val="1"/>
                <w:szCs w:val="1"/>
                <w:color w:val="auto"/>
              </w:rPr>
            </w:pPr>
          </w:p>
        </w:tc>
      </w:tr>
      <w:tr>
        <w:trPr>
          <w:trHeight w:val="215"/>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income tax</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(49,576)</w:t>
            </w:r>
          </w:p>
        </w:tc>
        <w:tc>
          <w:tcPr>
            <w:tcW w:w="8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(48,438)</w:t>
            </w:r>
          </w:p>
        </w:tc>
        <w:tc>
          <w:tcPr>
            <w:tcW w:w="0" w:type="dxa"/>
            <w:vAlign w:val="bottom"/>
          </w:tcPr>
          <w:p>
            <w:pPr>
              <w:spacing w:after="0"/>
              <w:rPr>
                <w:sz w:val="1"/>
                <w:szCs w:val="1"/>
                <w:color w:val="auto"/>
              </w:rPr>
            </w:pPr>
          </w:p>
        </w:tc>
      </w:tr>
      <w:tr>
        <w:trPr>
          <w:trHeight w:val="222"/>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6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Borders>
              <w:bottom w:val="single" w:sz="8" w:color="CCEEFF"/>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(1,440)</w:t>
            </w:r>
          </w:p>
        </w:tc>
        <w:tc>
          <w:tcPr>
            <w:tcW w:w="80" w:type="dxa"/>
            <w:vAlign w:val="bottom"/>
            <w:tcBorders>
              <w:bottom w:val="single" w:sz="8" w:color="CCEEFF"/>
            </w:tcBorders>
          </w:tcPr>
          <w:p>
            <w:pPr>
              <w:spacing w:after="0"/>
              <w:rPr>
                <w:sz w:val="19"/>
                <w:szCs w:val="19"/>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0"/>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(51,016)</w:t>
            </w:r>
          </w:p>
        </w:tc>
        <w:tc>
          <w:tcPr>
            <w:tcW w:w="8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(48,438)</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Loss per share - basic and diluted</w:t>
            </w:r>
          </w:p>
        </w:tc>
        <w:tc>
          <w:tcPr>
            <w:tcW w:w="62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9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(0.05)</w:t>
            </w:r>
          </w:p>
        </w:tc>
        <w:tc>
          <w:tcPr>
            <w:tcW w:w="80" w:type="dxa"/>
            <w:vAlign w:val="bottom"/>
          </w:tcPr>
          <w:p>
            <w:pPr>
              <w:spacing w:after="0"/>
              <w:rPr>
                <w:sz w:val="16"/>
                <w:szCs w:val="16"/>
                <w:color w:val="auto"/>
              </w:rPr>
            </w:pPr>
          </w:p>
        </w:tc>
        <w:tc>
          <w:tcPr>
            <w:tcW w:w="22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(0.04)</w:t>
            </w:r>
          </w:p>
        </w:tc>
        <w:tc>
          <w:tcPr>
            <w:tcW w:w="0" w:type="dxa"/>
            <w:vAlign w:val="bottom"/>
          </w:tcPr>
          <w:p>
            <w:pPr>
              <w:spacing w:after="0"/>
              <w:rPr>
                <w:sz w:val="1"/>
                <w:szCs w:val="1"/>
                <w:color w:val="auto"/>
              </w:rPr>
            </w:pPr>
          </w:p>
        </w:tc>
      </w:tr>
      <w:tr>
        <w:trPr>
          <w:trHeight w:val="170"/>
        </w:trPr>
        <w:tc>
          <w:tcPr>
            <w:tcW w:w="59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7"/>
                <w:szCs w:val="17"/>
                <w:color w:val="auto"/>
              </w:rPr>
              <w:t>Weighted-average shares used in calculating net loss per ordinary share - basic and</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w:t>
            </w: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1,107,390,590</w:t>
            </w:r>
          </w:p>
        </w:tc>
        <w:tc>
          <w:tcPr>
            <w:tcW w:w="80" w:type="dxa"/>
            <w:vAlign w:val="bottom"/>
            <w:shd w:val="clear" w:color="auto" w:fill="CCEEFF"/>
          </w:tcPr>
          <w:p>
            <w:pPr>
              <w:spacing w:after="0"/>
              <w:rPr>
                <w:sz w:val="20"/>
                <w:szCs w:val="20"/>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1,080,825,300</w:t>
            </w:r>
          </w:p>
        </w:tc>
        <w:tc>
          <w:tcPr>
            <w:tcW w:w="0" w:type="dxa"/>
            <w:vAlign w:val="bottom"/>
          </w:tcPr>
          <w:p>
            <w:pPr>
              <w:spacing w:after="0"/>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color w:val="auto"/>
        </w:rPr>
        <w:t>Zai Lab Limited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Comprehensive Loss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of $)</w:t>
      </w:r>
    </w:p>
    <w:p>
      <w:pPr>
        <w:spacing w:after="0" w:line="292"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rPr>
              <w:t>2026</w:t>
            </w:r>
          </w:p>
        </w:tc>
        <w:tc>
          <w:tcPr>
            <w:tcW w:w="7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260" w:type="dxa"/>
            <w:vAlign w:val="bottom"/>
            <w:tcBorders>
              <w:top w:val="single" w:sz="8" w:color="auto"/>
              <w:bottom w:val="single" w:sz="8" w:color="auto"/>
            </w:tcBorders>
          </w:tcPr>
          <w:p>
            <w:pPr>
              <w:jc w:val="right"/>
              <w:ind w:right="895"/>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7"/>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(51,016)</w:t>
            </w:r>
          </w:p>
        </w:tc>
        <w:tc>
          <w:tcPr>
            <w:tcW w:w="10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(48,438)</w:t>
            </w:r>
          </w:p>
        </w:tc>
      </w:tr>
      <w:tr>
        <w:trPr>
          <w:trHeight w:val="222"/>
        </w:trPr>
        <w:tc>
          <w:tcPr>
            <w:tcW w:w="75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Other comprehensive loss, net of tax of nil:</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22"/>
        </w:trPr>
        <w:tc>
          <w:tcPr>
            <w:tcW w:w="75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(14,592)</w:t>
            </w:r>
          </w:p>
        </w:tc>
        <w:tc>
          <w:tcPr>
            <w:tcW w:w="10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(1,212)</w:t>
            </w:r>
          </w:p>
        </w:tc>
      </w:tr>
      <w:tr>
        <w:trPr>
          <w:trHeight w:val="220"/>
        </w:trPr>
        <w:tc>
          <w:tcPr>
            <w:tcW w:w="6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loss</w:t>
            </w:r>
          </w:p>
        </w:tc>
        <w:tc>
          <w:tcPr>
            <w:tcW w:w="14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(65,608)</w:t>
            </w:r>
          </w:p>
        </w:tc>
        <w:tc>
          <w:tcPr>
            <w:tcW w:w="100" w:type="dxa"/>
            <w:vAlign w:val="bottom"/>
          </w:tcPr>
          <w:p>
            <w:pPr>
              <w:spacing w:after="0"/>
              <w:rPr>
                <w:sz w:val="19"/>
                <w:szCs w:val="19"/>
                <w:color w:val="auto"/>
              </w:rPr>
            </w:pPr>
          </w:p>
        </w:tc>
        <w:tc>
          <w:tcPr>
            <w:tcW w:w="2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(49,650)</w:t>
            </w:r>
          </w:p>
        </w:tc>
      </w:tr>
    </w:tbl>
    <w:p>
      <w:pPr>
        <w:spacing w:after="0" w:line="27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9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640"/>
          </w:cols>
          <w:pgMar w:left="320" w:top="1217" w:right="9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color w:val="auto"/>
        </w:rPr>
        <w:t>Zai Lab Limited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Shareholders’ Equity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of $, except for number of shares)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80" w:type="dxa"/>
            <w:vAlign w:val="bottom"/>
          </w:tcPr>
          <w:p>
            <w:pPr>
              <w:spacing w:after="0"/>
              <w:rPr>
                <w:sz w:val="16"/>
                <w:szCs w:val="16"/>
                <w:color w:val="auto"/>
              </w:rPr>
            </w:pPr>
          </w:p>
        </w:tc>
        <w:tc>
          <w:tcPr>
            <w:tcW w:w="206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90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3380" w:type="dxa"/>
            <w:vAlign w:val="bottom"/>
          </w:tcPr>
          <w:p>
            <w:pPr>
              <w:spacing w:after="0"/>
              <w:rPr>
                <w:sz w:val="13"/>
                <w:szCs w:val="13"/>
                <w:color w:val="auto"/>
              </w:rPr>
            </w:pPr>
          </w:p>
        </w:tc>
        <w:tc>
          <w:tcPr>
            <w:tcW w:w="1160" w:type="dxa"/>
            <w:vAlign w:val="bottom"/>
            <w:gridSpan w:val="2"/>
          </w:tcPr>
          <w:p>
            <w:pPr>
              <w:jc w:val="center"/>
              <w:ind w:right="80"/>
              <w:spacing w:after="0" w:line="150"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80"/>
              <w:spacing w:after="0" w:line="15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080" w:type="dxa"/>
            <w:vAlign w:val="bottom"/>
            <w:gridSpan w:val="2"/>
          </w:tcPr>
          <w:p>
            <w:pPr>
              <w:jc w:val="center"/>
              <w:ind w:right="80"/>
              <w:spacing w:after="0" w:line="150" w:lineRule="exact"/>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80" w:type="dxa"/>
            <w:vAlign w:val="bottom"/>
          </w:tcPr>
          <w:p>
            <w:pPr>
              <w:spacing w:after="0"/>
              <w:rPr>
                <w:sz w:val="12"/>
                <w:szCs w:val="12"/>
                <w:color w:val="auto"/>
              </w:rPr>
            </w:pPr>
          </w:p>
        </w:tc>
        <w:tc>
          <w:tcPr>
            <w:tcW w:w="116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of</w:t>
            </w: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paid</w:t>
            </w:r>
          </w:p>
        </w:tc>
        <w:tc>
          <w:tcPr>
            <w:tcW w:w="980" w:type="dxa"/>
            <w:vAlign w:val="bottom"/>
            <w:gridSpan w:val="2"/>
            <w:vMerge w:val="continue"/>
          </w:tcPr>
          <w:p>
            <w:pPr>
              <w:spacing w:after="0"/>
              <w:rPr>
                <w:sz w:val="12"/>
                <w:szCs w:val="12"/>
                <w:color w:val="auto"/>
              </w:rPr>
            </w:pPr>
          </w:p>
        </w:tc>
        <w:tc>
          <w:tcPr>
            <w:tcW w:w="108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0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vMerge w:val="restart"/>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380" w:type="dxa"/>
            <w:vAlign w:val="bottom"/>
          </w:tcPr>
          <w:p>
            <w:pPr>
              <w:spacing w:after="0"/>
              <w:rPr>
                <w:sz w:val="16"/>
                <w:szCs w:val="16"/>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900" w:type="dxa"/>
            <w:vAlign w:val="bottom"/>
            <w:gridSpan w:val="2"/>
            <w:vMerge w:val="continue"/>
          </w:tcPr>
          <w:p>
            <w:pPr>
              <w:spacing w:after="0"/>
              <w:rPr>
                <w:sz w:val="16"/>
                <w:szCs w:val="16"/>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income</w:t>
            </w:r>
          </w:p>
        </w:tc>
        <w:tc>
          <w:tcPr>
            <w:tcW w:w="10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1,113,822,550</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3,343,469</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(2,628,620)</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29,697</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(7,433,210)</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(29,053)</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715,500</w:t>
            </w:r>
          </w:p>
        </w:tc>
        <w:tc>
          <w:tcPr>
            <w:tcW w:w="0" w:type="dxa"/>
            <w:vAlign w:val="bottom"/>
          </w:tcPr>
          <w:p>
            <w:pPr>
              <w:spacing w:after="0"/>
              <w:rPr>
                <w:sz w:val="1"/>
                <w:szCs w:val="1"/>
                <w:color w:val="auto"/>
              </w:rPr>
            </w:pPr>
          </w:p>
        </w:tc>
      </w:tr>
      <w:tr>
        <w:trPr>
          <w:trHeight w:val="157"/>
        </w:trPr>
        <w:tc>
          <w:tcPr>
            <w:tcW w:w="338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Issuance of ordinary shares upon vesting of</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371,630</w:t>
            </w:r>
          </w:p>
        </w:tc>
        <w:tc>
          <w:tcPr>
            <w:tcW w:w="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Pr>
          <w:p>
            <w:pPr>
              <w:spacing w:after="0"/>
              <w:rPr>
                <w:sz w:val="13"/>
                <w:szCs w:val="13"/>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3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 shares</w:t>
            </w:r>
          </w:p>
        </w:tc>
        <w:tc>
          <w:tcPr>
            <w:tcW w:w="1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share options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4,641,010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w:t>
            </w:r>
          </w:p>
        </w:tc>
        <w:tc>
          <w:tcPr>
            <w:tcW w:w="0" w:type="dxa"/>
            <w:vAlign w:val="bottom"/>
          </w:tcPr>
          <w:p>
            <w:pPr>
              <w:spacing w:after="0"/>
              <w:rPr>
                <w:sz w:val="1"/>
                <w:szCs w:val="1"/>
                <w:color w:val="auto"/>
              </w:rPr>
            </w:pPr>
          </w:p>
        </w:tc>
      </w:tr>
      <w:tr>
        <w:trPr>
          <w:trHeight w:val="157"/>
        </w:trPr>
        <w:tc>
          <w:tcPr>
            <w:tcW w:w="338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Receipt of shares netted to satisfy tax withholding</w:t>
            </w: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(1,169,360)</w:t>
            </w:r>
          </w:p>
        </w:tc>
        <w:tc>
          <w:tcPr>
            <w:tcW w:w="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8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(2,268)</w:t>
            </w:r>
          </w:p>
        </w:tc>
        <w:tc>
          <w:tcPr>
            <w:tcW w:w="0" w:type="dxa"/>
            <w:vAlign w:val="bottom"/>
          </w:tcPr>
          <w:p>
            <w:pPr>
              <w:spacing w:after="0"/>
              <w:rPr>
                <w:sz w:val="1"/>
                <w:szCs w:val="1"/>
                <w:color w:val="auto"/>
              </w:rPr>
            </w:pPr>
          </w:p>
        </w:tc>
      </w:tr>
      <w:tr>
        <w:trPr>
          <w:trHeight w:val="206"/>
        </w:trPr>
        <w:tc>
          <w:tcPr>
            <w:tcW w:w="3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obligations related to share-based compensation</w:t>
            </w:r>
          </w:p>
        </w:tc>
        <w:tc>
          <w:tcPr>
            <w:tcW w:w="116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13,524</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13,524</w:t>
            </w:r>
          </w:p>
        </w:tc>
        <w:tc>
          <w:tcPr>
            <w:tcW w:w="0" w:type="dxa"/>
            <w:vAlign w:val="bottom"/>
          </w:tcPr>
          <w:p>
            <w:pPr>
              <w:spacing w:after="0"/>
              <w:rPr>
                <w:sz w:val="1"/>
                <w:szCs w:val="1"/>
                <w:color w:val="auto"/>
              </w:rPr>
            </w:pPr>
          </w:p>
        </w:tc>
      </w:tr>
      <w:tr>
        <w:trPr>
          <w:trHeight w:val="206"/>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(51,016)</w:t>
            </w:r>
          </w:p>
        </w:tc>
        <w:tc>
          <w:tcPr>
            <w:tcW w:w="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(51,016)</w:t>
            </w:r>
          </w:p>
        </w:tc>
        <w:tc>
          <w:tcPr>
            <w:tcW w:w="0" w:type="dxa"/>
            <w:vAlign w:val="bottom"/>
          </w:tcPr>
          <w:p>
            <w:pPr>
              <w:spacing w:after="0"/>
              <w:rPr>
                <w:sz w:val="1"/>
                <w:szCs w:val="1"/>
                <w:color w:val="auto"/>
              </w:rPr>
            </w:pPr>
          </w:p>
        </w:tc>
      </w:tr>
      <w:tr>
        <w:trPr>
          <w:trHeight w:val="212"/>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(14,592)</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(14,592)</w:t>
            </w:r>
          </w:p>
        </w:tc>
        <w:tc>
          <w:tcPr>
            <w:tcW w:w="0" w:type="dxa"/>
            <w:vAlign w:val="bottom"/>
          </w:tcPr>
          <w:p>
            <w:pPr>
              <w:spacing w:after="0"/>
              <w:rPr>
                <w:sz w:val="1"/>
                <w:szCs w:val="1"/>
                <w:color w:val="auto"/>
              </w:rPr>
            </w:pPr>
          </w:p>
        </w:tc>
      </w:tr>
      <w:tr>
        <w:trPr>
          <w:trHeight w:val="197"/>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2026</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1,118,835,190</w:t>
            </w:r>
          </w:p>
        </w:tc>
        <w:tc>
          <w:tcPr>
            <w:tcW w:w="8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3,357,826</w:t>
            </w:r>
          </w:p>
        </w:tc>
        <w:tc>
          <w:tcPr>
            <w:tcW w:w="8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(2,679,636)</w:t>
            </w:r>
          </w:p>
        </w:tc>
        <w:tc>
          <w:tcPr>
            <w:tcW w:w="8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15,105</w:t>
            </w:r>
          </w:p>
        </w:tc>
        <w:tc>
          <w:tcPr>
            <w:tcW w:w="8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(8,602,570)</w:t>
            </w:r>
          </w:p>
        </w:tc>
        <w:tc>
          <w:tcPr>
            <w:tcW w:w="8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(31,321)</w:t>
            </w:r>
          </w:p>
        </w:tc>
        <w:tc>
          <w:tcPr>
            <w:tcW w:w="8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661,981</w:t>
            </w:r>
          </w:p>
        </w:tc>
        <w:tc>
          <w:tcPr>
            <w:tcW w:w="0" w:type="dxa"/>
            <w:vAlign w:val="bottom"/>
          </w:tcPr>
          <w:p>
            <w:pPr>
              <w:spacing w:after="0"/>
              <w:rPr>
                <w:sz w:val="1"/>
                <w:szCs w:val="1"/>
                <w:color w:val="auto"/>
              </w:rPr>
            </w:pPr>
          </w:p>
        </w:tc>
      </w:tr>
      <w:tr>
        <w:trPr>
          <w:trHeight w:val="753"/>
        </w:trPr>
        <w:tc>
          <w:tcPr>
            <w:tcW w:w="3380" w:type="dxa"/>
            <w:vAlign w:val="bottom"/>
          </w:tcPr>
          <w:p>
            <w:pPr>
              <w:spacing w:after="0"/>
              <w:rPr>
                <w:sz w:val="24"/>
                <w:szCs w:val="24"/>
                <w:color w:val="auto"/>
              </w:rPr>
            </w:pPr>
          </w:p>
        </w:tc>
        <w:tc>
          <w:tcPr>
            <w:tcW w:w="206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90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3380" w:type="dxa"/>
            <w:vAlign w:val="bottom"/>
          </w:tcPr>
          <w:p>
            <w:pPr>
              <w:spacing w:after="0"/>
              <w:rPr>
                <w:sz w:val="13"/>
                <w:szCs w:val="13"/>
                <w:color w:val="auto"/>
              </w:rPr>
            </w:pPr>
          </w:p>
        </w:tc>
        <w:tc>
          <w:tcPr>
            <w:tcW w:w="1160" w:type="dxa"/>
            <w:vAlign w:val="bottom"/>
            <w:gridSpan w:val="2"/>
          </w:tcPr>
          <w:p>
            <w:pPr>
              <w:jc w:val="center"/>
              <w:ind w:right="80"/>
              <w:spacing w:after="0" w:line="150"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80"/>
              <w:spacing w:after="0" w:line="15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080" w:type="dxa"/>
            <w:vAlign w:val="bottom"/>
            <w:gridSpan w:val="2"/>
          </w:tcPr>
          <w:p>
            <w:pPr>
              <w:jc w:val="center"/>
              <w:ind w:right="80"/>
              <w:spacing w:after="0" w:line="150" w:lineRule="exact"/>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80" w:type="dxa"/>
            <w:vAlign w:val="bottom"/>
          </w:tcPr>
          <w:p>
            <w:pPr>
              <w:spacing w:after="0"/>
              <w:rPr>
                <w:sz w:val="12"/>
                <w:szCs w:val="12"/>
                <w:color w:val="auto"/>
              </w:rPr>
            </w:pPr>
          </w:p>
        </w:tc>
        <w:tc>
          <w:tcPr>
            <w:tcW w:w="116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of</w:t>
            </w: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rPr>
              <w:t>paid</w:t>
            </w:r>
          </w:p>
        </w:tc>
        <w:tc>
          <w:tcPr>
            <w:tcW w:w="980" w:type="dxa"/>
            <w:vAlign w:val="bottom"/>
            <w:gridSpan w:val="2"/>
            <w:vMerge w:val="continue"/>
          </w:tcPr>
          <w:p>
            <w:pPr>
              <w:spacing w:after="0"/>
              <w:rPr>
                <w:sz w:val="12"/>
                <w:szCs w:val="12"/>
                <w:color w:val="auto"/>
              </w:rPr>
            </w:pPr>
          </w:p>
        </w:tc>
        <w:tc>
          <w:tcPr>
            <w:tcW w:w="1080" w:type="dxa"/>
            <w:vAlign w:val="bottom"/>
            <w:gridSpan w:val="2"/>
          </w:tcPr>
          <w:p>
            <w:pPr>
              <w:jc w:val="center"/>
              <w:ind w:right="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0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vMerge w:val="restart"/>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380" w:type="dxa"/>
            <w:vAlign w:val="bottom"/>
          </w:tcPr>
          <w:p>
            <w:pPr>
              <w:spacing w:after="0"/>
              <w:rPr>
                <w:sz w:val="16"/>
                <w:szCs w:val="16"/>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900" w:type="dxa"/>
            <w:vAlign w:val="bottom"/>
            <w:gridSpan w:val="2"/>
            <w:vMerge w:val="continue"/>
          </w:tcPr>
          <w:p>
            <w:pPr>
              <w:spacing w:after="0"/>
              <w:rPr>
                <w:sz w:val="16"/>
                <w:szCs w:val="16"/>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income</w:t>
            </w:r>
          </w:p>
        </w:tc>
        <w:tc>
          <w:tcPr>
            <w:tcW w:w="100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1,082,614,740</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3,264,295</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(2,453,083)</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50,515</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(4,912,200)</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(20,836)</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840,898</w:t>
            </w:r>
          </w:p>
        </w:tc>
        <w:tc>
          <w:tcPr>
            <w:tcW w:w="0" w:type="dxa"/>
            <w:vAlign w:val="bottom"/>
          </w:tcPr>
          <w:p>
            <w:pPr>
              <w:spacing w:after="0"/>
              <w:rPr>
                <w:sz w:val="1"/>
                <w:szCs w:val="1"/>
                <w:color w:val="auto"/>
              </w:rPr>
            </w:pPr>
          </w:p>
        </w:tc>
      </w:tr>
      <w:tr>
        <w:trPr>
          <w:trHeight w:val="157"/>
        </w:trPr>
        <w:tc>
          <w:tcPr>
            <w:tcW w:w="3380" w:type="dxa"/>
            <w:vAlign w:val="bottom"/>
          </w:tcPr>
          <w:p>
            <w:pPr>
              <w:ind w:left="20"/>
              <w:spacing w:after="0" w:line="157" w:lineRule="exact"/>
              <w:rPr>
                <w:sz w:val="20"/>
                <w:szCs w:val="20"/>
                <w:color w:val="auto"/>
              </w:rPr>
            </w:pPr>
            <w:r>
              <w:rPr>
                <w:rFonts w:ascii="Times New Roman" w:cs="Times New Roman" w:eastAsia="Times New Roman" w:hAnsi="Times New Roman"/>
                <w:sz w:val="16"/>
                <w:szCs w:val="16"/>
                <w:color w:val="auto"/>
              </w:rPr>
              <w:t>Issuance of ordinary shares upon vesting of</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137,540</w:t>
            </w:r>
          </w:p>
        </w:tc>
        <w:tc>
          <w:tcPr>
            <w:tcW w:w="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Pr>
          <w:p>
            <w:pPr>
              <w:spacing w:after="0"/>
              <w:rPr>
                <w:sz w:val="13"/>
                <w:szCs w:val="13"/>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3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 shares</w:t>
            </w:r>
          </w:p>
        </w:tc>
        <w:tc>
          <w:tcPr>
            <w:tcW w:w="1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share options</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6,324,120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3,733</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3,733</w:t>
            </w:r>
          </w:p>
        </w:tc>
        <w:tc>
          <w:tcPr>
            <w:tcW w:w="0" w:type="dxa"/>
            <w:vAlign w:val="bottom"/>
          </w:tcPr>
          <w:p>
            <w:pPr>
              <w:spacing w:after="0"/>
              <w:rPr>
                <w:sz w:val="1"/>
                <w:szCs w:val="1"/>
                <w:color w:val="auto"/>
              </w:rPr>
            </w:pPr>
          </w:p>
        </w:tc>
      </w:tr>
      <w:tr>
        <w:trPr>
          <w:trHeight w:val="222"/>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Issuance cost of the follow-on public offering</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0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15,800</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15,800</w:t>
            </w:r>
          </w:p>
        </w:tc>
        <w:tc>
          <w:tcPr>
            <w:tcW w:w="0" w:type="dxa"/>
            <w:vAlign w:val="bottom"/>
          </w:tcPr>
          <w:p>
            <w:pPr>
              <w:spacing w:after="0"/>
              <w:rPr>
                <w:sz w:val="1"/>
                <w:szCs w:val="1"/>
                <w:color w:val="auto"/>
              </w:rPr>
            </w:pPr>
          </w:p>
        </w:tc>
      </w:tr>
      <w:tr>
        <w:trPr>
          <w:trHeight w:val="206"/>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(48,438)</w:t>
            </w:r>
          </w:p>
        </w:tc>
        <w:tc>
          <w:tcPr>
            <w:tcW w:w="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(48,438)</w:t>
            </w:r>
          </w:p>
        </w:tc>
        <w:tc>
          <w:tcPr>
            <w:tcW w:w="0" w:type="dxa"/>
            <w:vAlign w:val="bottom"/>
          </w:tcPr>
          <w:p>
            <w:pPr>
              <w:spacing w:after="0"/>
              <w:rPr>
                <w:sz w:val="1"/>
                <w:szCs w:val="1"/>
                <w:color w:val="auto"/>
              </w:rPr>
            </w:pPr>
          </w:p>
        </w:tc>
      </w:tr>
      <w:tr>
        <w:trPr>
          <w:trHeight w:val="212"/>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0" w:type="dxa"/>
            <w:vAlign w:val="bottom"/>
          </w:tcPr>
          <w:p>
            <w:pPr>
              <w:spacing w:after="0"/>
              <w:rPr>
                <w:sz w:val="1"/>
                <w:szCs w:val="1"/>
                <w:color w:val="auto"/>
              </w:rPr>
            </w:pPr>
          </w:p>
        </w:tc>
      </w:tr>
      <w:tr>
        <w:trPr>
          <w:trHeight w:val="197"/>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2025</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1,089,076,400</w:t>
            </w:r>
          </w:p>
        </w:tc>
        <w:tc>
          <w:tcPr>
            <w:tcW w:w="8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3,283,800</w:t>
            </w:r>
          </w:p>
        </w:tc>
        <w:tc>
          <w:tcPr>
            <w:tcW w:w="80" w:type="dxa"/>
            <w:vAlign w:val="bottom"/>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(2,501,521)</w:t>
            </w:r>
          </w:p>
        </w:tc>
        <w:tc>
          <w:tcPr>
            <w:tcW w:w="8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49,303</w:t>
            </w:r>
          </w:p>
        </w:tc>
        <w:tc>
          <w:tcPr>
            <w:tcW w:w="8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(4,912,200)</w:t>
            </w:r>
          </w:p>
        </w:tc>
        <w:tc>
          <w:tcPr>
            <w:tcW w:w="8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(20,836)</w:t>
            </w:r>
          </w:p>
        </w:tc>
        <w:tc>
          <w:tcPr>
            <w:tcW w:w="80" w:type="dxa"/>
            <w:vAlign w:val="bottom"/>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810,753</w:t>
            </w:r>
          </w:p>
        </w:tc>
        <w:tc>
          <w:tcPr>
            <w:tcW w:w="0" w:type="dxa"/>
            <w:vAlign w:val="bottom"/>
          </w:tcPr>
          <w:p>
            <w:pPr>
              <w:spacing w:after="0"/>
              <w:rPr>
                <w:sz w:val="1"/>
                <w:szCs w:val="1"/>
                <w:color w:val="auto"/>
              </w:rPr>
            </w:pPr>
          </w:p>
        </w:tc>
      </w:tr>
    </w:tbl>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 “0” in above table means less than 1,000 dollars.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color w:val="auto"/>
        </w:rPr>
        <w:t>Zai Lab Limited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thousands of $)</w:t>
      </w:r>
    </w:p>
    <w:p>
      <w:pPr>
        <w:spacing w:after="0" w:line="141" w:lineRule="exact"/>
        <w:rPr>
          <w:sz w:val="20"/>
          <w:szCs w:val="20"/>
          <w:color w:val="auto"/>
        </w:rPr>
      </w:pPr>
    </w:p>
    <w:p>
      <w:pPr>
        <w:jc w:val="center"/>
        <w:ind w:left="81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1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8140" w:type="dxa"/>
            <w:vAlign w:val="bottom"/>
            <w:tcBorders>
              <w:bottom w:val="single" w:sz="8" w:color="CCEEFF"/>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8"/>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4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(51,016)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(48,438)</w:t>
            </w:r>
          </w:p>
        </w:tc>
        <w:tc>
          <w:tcPr>
            <w:tcW w:w="0" w:type="dxa"/>
            <w:vAlign w:val="bottom"/>
          </w:tcPr>
          <w:p>
            <w:pPr>
              <w:spacing w:after="0"/>
              <w:rPr>
                <w:sz w:val="1"/>
                <w:szCs w:val="1"/>
                <w:color w:val="auto"/>
              </w:rPr>
            </w:pPr>
          </w:p>
        </w:tc>
      </w:tr>
      <w:tr>
        <w:trPr>
          <w:trHeight w:val="222"/>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1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Allowance for credit losses</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2"/>
        </w:trPr>
        <w:tc>
          <w:tcPr>
            <w:tcW w:w="8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Inventory write-down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22"/>
        </w:trPr>
        <w:tc>
          <w:tcPr>
            <w:tcW w:w="81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Depreciation and amortization expenses</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3,944</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3,458</w:t>
            </w:r>
          </w:p>
        </w:tc>
        <w:tc>
          <w:tcPr>
            <w:tcW w:w="0" w:type="dxa"/>
            <w:vAlign w:val="bottom"/>
          </w:tcPr>
          <w:p>
            <w:pPr>
              <w:spacing w:after="0"/>
              <w:rPr>
                <w:sz w:val="1"/>
                <w:szCs w:val="1"/>
                <w:color w:val="auto"/>
              </w:rPr>
            </w:pPr>
          </w:p>
        </w:tc>
      </w:tr>
      <w:tr>
        <w:trPr>
          <w:trHeight w:val="222"/>
        </w:trPr>
        <w:tc>
          <w:tcPr>
            <w:tcW w:w="8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Amortization of deferred income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(1,331)</w:t>
            </w:r>
          </w:p>
        </w:tc>
        <w:tc>
          <w:tcPr>
            <w:tcW w:w="0" w:type="dxa"/>
            <w:vAlign w:val="bottom"/>
          </w:tcPr>
          <w:p>
            <w:pPr>
              <w:spacing w:after="0"/>
              <w:rPr>
                <w:sz w:val="1"/>
                <w:szCs w:val="1"/>
                <w:color w:val="auto"/>
              </w:rPr>
            </w:pPr>
          </w:p>
        </w:tc>
      </w:tr>
      <w:tr>
        <w:trPr>
          <w:trHeight w:val="222"/>
        </w:trPr>
        <w:tc>
          <w:tcPr>
            <w:tcW w:w="81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Share-based compensation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13,524</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15,800</w:t>
            </w:r>
          </w:p>
        </w:tc>
        <w:tc>
          <w:tcPr>
            <w:tcW w:w="0" w:type="dxa"/>
            <w:vAlign w:val="bottom"/>
          </w:tcPr>
          <w:p>
            <w:pPr>
              <w:spacing w:after="0"/>
              <w:rPr>
                <w:sz w:val="1"/>
                <w:szCs w:val="1"/>
                <w:color w:val="auto"/>
              </w:rPr>
            </w:pPr>
          </w:p>
        </w:tc>
      </w:tr>
      <w:tr>
        <w:trPr>
          <w:trHeight w:val="222"/>
        </w:trPr>
        <w:tc>
          <w:tcPr>
            <w:tcW w:w="8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Loss from fair value changes of equity investment with readily determinable fair value</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1,912</w:t>
            </w:r>
          </w:p>
        </w:tc>
        <w:tc>
          <w:tcPr>
            <w:tcW w:w="0" w:type="dxa"/>
            <w:vAlign w:val="bottom"/>
          </w:tcPr>
          <w:p>
            <w:pPr>
              <w:spacing w:after="0"/>
              <w:rPr>
                <w:sz w:val="1"/>
                <w:szCs w:val="1"/>
                <w:color w:val="auto"/>
              </w:rPr>
            </w:pPr>
          </w:p>
        </w:tc>
      </w:tr>
      <w:tr>
        <w:trPr>
          <w:trHeight w:val="222"/>
        </w:trPr>
        <w:tc>
          <w:tcPr>
            <w:tcW w:w="81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Loss on disposal of property and equipment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8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Noncash lease expenses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2,466</w:t>
            </w:r>
          </w:p>
        </w:tc>
        <w:tc>
          <w:tcPr>
            <w:tcW w:w="0" w:type="dxa"/>
            <w:vAlign w:val="bottom"/>
          </w:tcPr>
          <w:p>
            <w:pPr>
              <w:spacing w:after="0"/>
              <w:rPr>
                <w:sz w:val="1"/>
                <w:szCs w:val="1"/>
                <w:color w:val="auto"/>
              </w:rPr>
            </w:pPr>
          </w:p>
        </w:tc>
      </w:tr>
      <w:tr>
        <w:trPr>
          <w:trHeight w:val="222"/>
        </w:trPr>
        <w:tc>
          <w:tcPr>
            <w:tcW w:w="81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Foreign currency remeasurement impact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(14,837)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w:t>
            </w:r>
          </w:p>
        </w:tc>
        <w:tc>
          <w:tcPr>
            <w:tcW w:w="0" w:type="dxa"/>
            <w:vAlign w:val="bottom"/>
          </w:tcPr>
          <w:p>
            <w:pPr>
              <w:spacing w:after="0"/>
              <w:rPr>
                <w:sz w:val="1"/>
                <w:szCs w:val="1"/>
                <w:color w:val="auto"/>
              </w:rPr>
            </w:pPr>
          </w:p>
        </w:tc>
      </w:tr>
      <w:tr>
        <w:trPr>
          <w:trHeight w:val="222"/>
        </w:trPr>
        <w:tc>
          <w:tcPr>
            <w:tcW w:w="8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1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Accounts receivable</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53,268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8,737</w:t>
            </w:r>
          </w:p>
        </w:tc>
        <w:tc>
          <w:tcPr>
            <w:tcW w:w="0" w:type="dxa"/>
            <w:vAlign w:val="bottom"/>
          </w:tcPr>
          <w:p>
            <w:pPr>
              <w:spacing w:after="0"/>
              <w:rPr>
                <w:sz w:val="1"/>
                <w:szCs w:val="1"/>
                <w:color w:val="auto"/>
              </w:rPr>
            </w:pPr>
          </w:p>
        </w:tc>
      </w:tr>
      <w:tr>
        <w:trPr>
          <w:trHeight w:val="222"/>
        </w:trPr>
        <w:tc>
          <w:tcPr>
            <w:tcW w:w="81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Notes receivable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(6,885)</w:t>
            </w:r>
          </w:p>
        </w:tc>
        <w:tc>
          <w:tcPr>
            <w:tcW w:w="0" w:type="dxa"/>
            <w:vAlign w:val="bottom"/>
          </w:tcPr>
          <w:p>
            <w:pPr>
              <w:spacing w:after="0"/>
              <w:rPr>
                <w:sz w:val="1"/>
                <w:szCs w:val="1"/>
                <w:color w:val="auto"/>
              </w:rPr>
            </w:pPr>
          </w:p>
        </w:tc>
      </w:tr>
      <w:tr>
        <w:trPr>
          <w:trHeight w:val="222"/>
        </w:trPr>
        <w:tc>
          <w:tcPr>
            <w:tcW w:w="81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Inventories</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(11,208)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(13,198)</w:t>
            </w:r>
          </w:p>
        </w:tc>
        <w:tc>
          <w:tcPr>
            <w:tcW w:w="0" w:type="dxa"/>
            <w:vAlign w:val="bottom"/>
          </w:tcPr>
          <w:p>
            <w:pPr>
              <w:spacing w:after="0"/>
              <w:rPr>
                <w:sz w:val="1"/>
                <w:szCs w:val="1"/>
                <w:color w:val="auto"/>
              </w:rPr>
            </w:pPr>
          </w:p>
        </w:tc>
      </w:tr>
      <w:tr>
        <w:trPr>
          <w:trHeight w:val="222"/>
        </w:trPr>
        <w:tc>
          <w:tcPr>
            <w:tcW w:w="81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Prepayments and other current assets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(1,601)</w:t>
            </w:r>
          </w:p>
        </w:tc>
        <w:tc>
          <w:tcPr>
            <w:tcW w:w="0" w:type="dxa"/>
            <w:vAlign w:val="bottom"/>
          </w:tcPr>
          <w:p>
            <w:pPr>
              <w:spacing w:after="0"/>
              <w:rPr>
                <w:sz w:val="1"/>
                <w:szCs w:val="1"/>
                <w:color w:val="auto"/>
              </w:rPr>
            </w:pPr>
          </w:p>
        </w:tc>
      </w:tr>
      <w:tr>
        <w:trPr>
          <w:trHeight w:val="222"/>
        </w:trPr>
        <w:tc>
          <w:tcPr>
            <w:tcW w:w="81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Other non-current assets</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1,401</w:t>
            </w:r>
          </w:p>
        </w:tc>
        <w:tc>
          <w:tcPr>
            <w:tcW w:w="0" w:type="dxa"/>
            <w:vAlign w:val="bottom"/>
          </w:tcPr>
          <w:p>
            <w:pPr>
              <w:spacing w:after="0"/>
              <w:rPr>
                <w:sz w:val="1"/>
                <w:szCs w:val="1"/>
                <w:color w:val="auto"/>
              </w:rPr>
            </w:pPr>
          </w:p>
        </w:tc>
      </w:tr>
      <w:tr>
        <w:trPr>
          <w:trHeight w:val="222"/>
        </w:trPr>
        <w:tc>
          <w:tcPr>
            <w:tcW w:w="81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Accounts payable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2,720</w:t>
            </w:r>
          </w:p>
        </w:tc>
        <w:tc>
          <w:tcPr>
            <w:tcW w:w="0" w:type="dxa"/>
            <w:vAlign w:val="bottom"/>
          </w:tcPr>
          <w:p>
            <w:pPr>
              <w:spacing w:after="0"/>
              <w:rPr>
                <w:sz w:val="1"/>
                <w:szCs w:val="1"/>
                <w:color w:val="auto"/>
              </w:rPr>
            </w:pPr>
          </w:p>
        </w:tc>
      </w:tr>
      <w:tr>
        <w:trPr>
          <w:trHeight w:val="222"/>
        </w:trPr>
        <w:tc>
          <w:tcPr>
            <w:tcW w:w="81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(17,638)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(23,275)</w:t>
            </w:r>
          </w:p>
        </w:tc>
        <w:tc>
          <w:tcPr>
            <w:tcW w:w="0" w:type="dxa"/>
            <w:vAlign w:val="bottom"/>
          </w:tcPr>
          <w:p>
            <w:pPr>
              <w:spacing w:after="0"/>
              <w:rPr>
                <w:sz w:val="1"/>
                <w:szCs w:val="1"/>
                <w:color w:val="auto"/>
              </w:rPr>
            </w:pPr>
          </w:p>
        </w:tc>
      </w:tr>
      <w:tr>
        <w:trPr>
          <w:trHeight w:val="222"/>
        </w:trPr>
        <w:tc>
          <w:tcPr>
            <w:tcW w:w="81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(2,827)</w:t>
            </w:r>
          </w:p>
        </w:tc>
        <w:tc>
          <w:tcPr>
            <w:tcW w:w="0" w:type="dxa"/>
            <w:vAlign w:val="bottom"/>
          </w:tcPr>
          <w:p>
            <w:pPr>
              <w:spacing w:after="0"/>
              <w:rPr>
                <w:sz w:val="1"/>
                <w:szCs w:val="1"/>
                <w:color w:val="auto"/>
              </w:rPr>
            </w:pPr>
          </w:p>
        </w:tc>
      </w:tr>
      <w:tr>
        <w:trPr>
          <w:trHeight w:val="222"/>
        </w:trPr>
        <w:tc>
          <w:tcPr>
            <w:tcW w:w="81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Deferred income</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22"/>
        </w:trPr>
        <w:tc>
          <w:tcPr>
            <w:tcW w:w="81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5"/>
        </w:trPr>
        <w:tc>
          <w:tcPr>
            <w:tcW w:w="814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(11,912)</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(61,699)</w:t>
            </w:r>
          </w:p>
        </w:tc>
        <w:tc>
          <w:tcPr>
            <w:tcW w:w="0" w:type="dxa"/>
            <w:vAlign w:val="bottom"/>
          </w:tcPr>
          <w:p>
            <w:pPr>
              <w:spacing w:after="0"/>
              <w:rPr>
                <w:sz w:val="1"/>
                <w:szCs w:val="1"/>
                <w:color w:val="auto"/>
              </w:rPr>
            </w:pPr>
          </w:p>
        </w:tc>
      </w:tr>
      <w:tr>
        <w:trPr>
          <w:trHeight w:val="222"/>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1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Proceeds from maturity of short-term investment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330,000</w:t>
            </w:r>
          </w:p>
        </w:tc>
        <w:tc>
          <w:tcPr>
            <w:tcW w:w="0" w:type="dxa"/>
            <w:vAlign w:val="bottom"/>
          </w:tcPr>
          <w:p>
            <w:pPr>
              <w:spacing w:after="0"/>
              <w:rPr>
                <w:sz w:val="1"/>
                <w:szCs w:val="1"/>
                <w:color w:val="auto"/>
              </w:rPr>
            </w:pPr>
          </w:p>
        </w:tc>
      </w:tr>
      <w:tr>
        <w:trPr>
          <w:trHeight w:val="222"/>
        </w:trPr>
        <w:tc>
          <w:tcPr>
            <w:tcW w:w="8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(1,195)</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(1,534)</w:t>
            </w:r>
          </w:p>
        </w:tc>
        <w:tc>
          <w:tcPr>
            <w:tcW w:w="0" w:type="dxa"/>
            <w:vAlign w:val="bottom"/>
          </w:tcPr>
          <w:p>
            <w:pPr>
              <w:spacing w:after="0"/>
              <w:rPr>
                <w:sz w:val="1"/>
                <w:szCs w:val="1"/>
                <w:color w:val="auto"/>
              </w:rPr>
            </w:pPr>
          </w:p>
        </w:tc>
      </w:tr>
      <w:tr>
        <w:trPr>
          <w:trHeight w:val="222"/>
        </w:trPr>
        <w:tc>
          <w:tcPr>
            <w:tcW w:w="81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Proceeds from the sale of property and equipment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8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Acquisition of intangible assets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(21,095)</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(2,333)</w:t>
            </w:r>
          </w:p>
        </w:tc>
        <w:tc>
          <w:tcPr>
            <w:tcW w:w="0" w:type="dxa"/>
            <w:vAlign w:val="bottom"/>
          </w:tcPr>
          <w:p>
            <w:pPr>
              <w:spacing w:after="0"/>
              <w:rPr>
                <w:sz w:val="1"/>
                <w:szCs w:val="1"/>
                <w:color w:val="auto"/>
              </w:rPr>
            </w:pPr>
          </w:p>
        </w:tc>
      </w:tr>
      <w:tr>
        <w:trPr>
          <w:trHeight w:val="215"/>
        </w:trPr>
        <w:tc>
          <w:tcPr>
            <w:tcW w:w="814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(22,288)</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326,133</w:t>
            </w:r>
          </w:p>
        </w:tc>
        <w:tc>
          <w:tcPr>
            <w:tcW w:w="0" w:type="dxa"/>
            <w:vAlign w:val="bottom"/>
          </w:tcPr>
          <w:p>
            <w:pPr>
              <w:spacing w:after="0"/>
              <w:rPr>
                <w:sz w:val="1"/>
                <w:szCs w:val="1"/>
                <w:color w:val="auto"/>
              </w:rPr>
            </w:pPr>
          </w:p>
        </w:tc>
      </w:tr>
      <w:tr>
        <w:trPr>
          <w:trHeight w:val="222"/>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1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Proceeds from short-term debt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112,510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101,890</w:t>
            </w:r>
          </w:p>
        </w:tc>
        <w:tc>
          <w:tcPr>
            <w:tcW w:w="0" w:type="dxa"/>
            <w:vAlign w:val="bottom"/>
          </w:tcPr>
          <w:p>
            <w:pPr>
              <w:spacing w:after="0"/>
              <w:rPr>
                <w:sz w:val="1"/>
                <w:szCs w:val="1"/>
                <w:color w:val="auto"/>
              </w:rPr>
            </w:pPr>
          </w:p>
        </w:tc>
      </w:tr>
      <w:tr>
        <w:trPr>
          <w:trHeight w:val="222"/>
        </w:trPr>
        <w:tc>
          <w:tcPr>
            <w:tcW w:w="8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Repayment of short-term bank borrowings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(60,904)</w:t>
            </w:r>
          </w:p>
        </w:tc>
        <w:tc>
          <w:tcPr>
            <w:tcW w:w="0" w:type="dxa"/>
            <w:vAlign w:val="bottom"/>
          </w:tcPr>
          <w:p>
            <w:pPr>
              <w:spacing w:after="0"/>
              <w:rPr>
                <w:sz w:val="1"/>
                <w:szCs w:val="1"/>
                <w:color w:val="auto"/>
              </w:rPr>
            </w:pPr>
          </w:p>
        </w:tc>
      </w:tr>
      <w:tr>
        <w:trPr>
          <w:trHeight w:val="222"/>
        </w:trPr>
        <w:tc>
          <w:tcPr>
            <w:tcW w:w="81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Proceeds from exercises of stock options</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3,009</w:t>
            </w:r>
          </w:p>
        </w:tc>
        <w:tc>
          <w:tcPr>
            <w:tcW w:w="0" w:type="dxa"/>
            <w:vAlign w:val="bottom"/>
          </w:tcPr>
          <w:p>
            <w:pPr>
              <w:spacing w:after="0"/>
              <w:rPr>
                <w:sz w:val="1"/>
                <w:szCs w:val="1"/>
                <w:color w:val="auto"/>
              </w:rPr>
            </w:pPr>
          </w:p>
        </w:tc>
      </w:tr>
      <w:tr>
        <w:trPr>
          <w:trHeight w:val="222"/>
        </w:trPr>
        <w:tc>
          <w:tcPr>
            <w:tcW w:w="8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Payments of public offering costs</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w:t>
            </w:r>
          </w:p>
        </w:tc>
        <w:tc>
          <w:tcPr>
            <w:tcW w:w="0" w:type="dxa"/>
            <w:vAlign w:val="bottom"/>
          </w:tcPr>
          <w:p>
            <w:pPr>
              <w:spacing w:after="0"/>
              <w:rPr>
                <w:sz w:val="1"/>
                <w:szCs w:val="1"/>
                <w:color w:val="auto"/>
              </w:rPr>
            </w:pPr>
          </w:p>
        </w:tc>
      </w:tr>
      <w:tr>
        <w:trPr>
          <w:trHeight w:val="222"/>
        </w:trPr>
        <w:tc>
          <w:tcPr>
            <w:tcW w:w="81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Employee taxes paid related to net share settlement of equity awards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(2,270)</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5"/>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5,573</w:t>
            </w:r>
          </w:p>
        </w:tc>
        <w:tc>
          <w:tcPr>
            <w:tcW w:w="10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43,141</w:t>
            </w:r>
          </w:p>
        </w:tc>
        <w:tc>
          <w:tcPr>
            <w:tcW w:w="0" w:type="dxa"/>
            <w:vAlign w:val="bottom"/>
          </w:tcPr>
          <w:p>
            <w:pPr>
              <w:spacing w:after="0"/>
              <w:rPr>
                <w:sz w:val="1"/>
                <w:szCs w:val="1"/>
                <w:color w:val="auto"/>
              </w:rPr>
            </w:pPr>
          </w:p>
        </w:tc>
      </w:tr>
      <w:tr>
        <w:trPr>
          <w:trHeight w:val="215"/>
        </w:trPr>
        <w:tc>
          <w:tcPr>
            <w:tcW w:w="8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Effect of foreign exchange rate changes on cash, cash equivalents and restricted cash</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15"/>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(decrease) increase in cash, cash equivalents and restricted cash</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(28,256)</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307,595</w:t>
            </w:r>
          </w:p>
        </w:tc>
        <w:tc>
          <w:tcPr>
            <w:tcW w:w="0" w:type="dxa"/>
            <w:vAlign w:val="bottom"/>
          </w:tcPr>
          <w:p>
            <w:pPr>
              <w:spacing w:after="0"/>
              <w:rPr>
                <w:sz w:val="1"/>
                <w:szCs w:val="1"/>
                <w:color w:val="auto"/>
              </w:rPr>
            </w:pPr>
          </w:p>
        </w:tc>
      </w:tr>
      <w:tr>
        <w:trPr>
          <w:trHeight w:val="222"/>
        </w:trPr>
        <w:tc>
          <w:tcPr>
            <w:tcW w:w="8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 beginning of period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780,689</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550,781</w:t>
            </w:r>
          </w:p>
        </w:tc>
        <w:tc>
          <w:tcPr>
            <w:tcW w:w="0" w:type="dxa"/>
            <w:vAlign w:val="bottom"/>
          </w:tcPr>
          <w:p>
            <w:pPr>
              <w:spacing w:after="0"/>
              <w:rPr>
                <w:sz w:val="1"/>
                <w:szCs w:val="1"/>
                <w:color w:val="auto"/>
              </w:rPr>
            </w:pPr>
          </w:p>
        </w:tc>
      </w:tr>
      <w:tr>
        <w:trPr>
          <w:trHeight w:val="240"/>
        </w:trPr>
        <w:tc>
          <w:tcPr>
            <w:tcW w:w="8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 end of period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752,433</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858,376</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on non-cash investing and financing activities</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14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Payables for purchase of property and equipment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2,645</w:t>
            </w:r>
          </w:p>
        </w:tc>
        <w:tc>
          <w:tcPr>
            <w:tcW w:w="0" w:type="dxa"/>
            <w:vAlign w:val="bottom"/>
          </w:tcPr>
          <w:p>
            <w:pPr>
              <w:spacing w:after="0"/>
              <w:rPr>
                <w:sz w:val="1"/>
                <w:szCs w:val="1"/>
                <w:color w:val="auto"/>
              </w:rPr>
            </w:pPr>
          </w:p>
        </w:tc>
      </w:tr>
      <w:tr>
        <w:trPr>
          <w:trHeight w:val="222"/>
        </w:trPr>
        <w:tc>
          <w:tcPr>
            <w:tcW w:w="8140" w:type="dxa"/>
            <w:vAlign w:val="bottom"/>
          </w:tcPr>
          <w:p>
            <w:pPr>
              <w:spacing w:after="0"/>
              <w:rPr>
                <w:sz w:val="20"/>
                <w:szCs w:val="20"/>
                <w:color w:val="auto"/>
              </w:rPr>
            </w:pPr>
            <w:r>
              <w:rPr>
                <w:rFonts w:ascii="Times New Roman" w:cs="Times New Roman" w:eastAsia="Times New Roman" w:hAnsi="Times New Roman"/>
                <w:sz w:val="17"/>
                <w:szCs w:val="17"/>
                <w:color w:val="auto"/>
              </w:rPr>
              <w:t>Payables for acquisition of intangible assets</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895</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2,075</w:t>
            </w:r>
          </w:p>
        </w:tc>
        <w:tc>
          <w:tcPr>
            <w:tcW w:w="0" w:type="dxa"/>
            <w:vAlign w:val="bottom"/>
          </w:tcPr>
          <w:p>
            <w:pPr>
              <w:spacing w:after="0"/>
              <w:rPr>
                <w:sz w:val="1"/>
                <w:szCs w:val="1"/>
                <w:color w:val="auto"/>
              </w:rPr>
            </w:pPr>
          </w:p>
        </w:tc>
      </w:tr>
      <w:tr>
        <w:trPr>
          <w:trHeight w:val="222"/>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Payables for public offering costs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0" w:type="dxa"/>
            <w:vAlign w:val="bottom"/>
          </w:tcPr>
          <w:p>
            <w:pPr>
              <w:spacing w:after="0"/>
              <w:rPr>
                <w:sz w:val="1"/>
                <w:szCs w:val="1"/>
                <w:color w:val="auto"/>
              </w:rPr>
            </w:pPr>
          </w:p>
        </w:tc>
      </w:tr>
      <w:tr>
        <w:trPr>
          <w:trHeight w:val="222"/>
        </w:trPr>
        <w:tc>
          <w:tcPr>
            <w:tcW w:w="8140" w:type="dxa"/>
            <w:vAlign w:val="bottom"/>
          </w:tcPr>
          <w:p>
            <w:pPr>
              <w:spacing w:after="0"/>
              <w:rPr>
                <w:sz w:val="20"/>
                <w:szCs w:val="20"/>
                <w:color w:val="auto"/>
              </w:rPr>
            </w:pPr>
            <w:r>
              <w:rPr>
                <w:rFonts w:ascii="Times New Roman" w:cs="Times New Roman" w:eastAsia="Times New Roman" w:hAnsi="Times New Roman"/>
                <w:sz w:val="17"/>
                <w:szCs w:val="17"/>
                <w:color w:val="auto"/>
              </w:rPr>
              <w:t>Receivable from sales of equity investments</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1,203</w:t>
            </w:r>
          </w:p>
        </w:tc>
        <w:tc>
          <w:tcPr>
            <w:tcW w:w="0" w:type="dxa"/>
            <w:vAlign w:val="bottom"/>
          </w:tcPr>
          <w:p>
            <w:pPr>
              <w:spacing w:after="0"/>
              <w:rPr>
                <w:sz w:val="1"/>
                <w:szCs w:val="1"/>
                <w:color w:val="auto"/>
              </w:rPr>
            </w:pPr>
          </w:p>
        </w:tc>
      </w:tr>
      <w:tr>
        <w:trPr>
          <w:trHeight w:val="222"/>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Receivables for stock option exercise under equity incentive plans</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794</w:t>
            </w:r>
          </w:p>
        </w:tc>
        <w:tc>
          <w:tcPr>
            <w:tcW w:w="0" w:type="dxa"/>
            <w:vAlign w:val="bottom"/>
          </w:tcPr>
          <w:p>
            <w:pPr>
              <w:spacing w:after="0"/>
              <w:rPr>
                <w:sz w:val="1"/>
                <w:szCs w:val="1"/>
                <w:color w:val="auto"/>
              </w:rPr>
            </w:pPr>
          </w:p>
        </w:tc>
      </w:tr>
      <w:tr>
        <w:trPr>
          <w:trHeight w:val="222"/>
        </w:trPr>
        <w:tc>
          <w:tcPr>
            <w:tcW w:w="8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paid for interest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1,101</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ectPr>
          <w:pgSz w:w="11900" w:h="16838" w:orient="portrait"/>
          <w:cols w:equalWidth="0" w:num="1">
            <w:col w:w="11240"/>
          </w:cols>
          <w:pgMar w:left="320" w:top="799" w:right="339" w:bottom="1440" w:gutter="0" w:footer="0" w:header="0"/>
        </w:sectPr>
      </w:pPr>
    </w:p>
    <w:p>
      <w:pPr>
        <w:spacing w:after="0" w:line="18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73025</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799"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color w:val="auto"/>
        </w:rPr>
        <w:t>Zai Lab Limited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and Principal Activities</w:t>
      </w:r>
    </w:p>
    <w:p>
      <w:pPr>
        <w:spacing w:after="0" w:line="186" w:lineRule="exact"/>
        <w:rPr>
          <w:sz w:val="20"/>
          <w:szCs w:val="20"/>
          <w:color w:val="auto"/>
        </w:rPr>
      </w:pPr>
    </w:p>
    <w:p>
      <w:pPr>
        <w:ind w:right="80" w:firstLine="470"/>
        <w:spacing w:after="0" w:line="312" w:lineRule="auto"/>
        <w:rPr>
          <w:sz w:val="20"/>
          <w:szCs w:val="20"/>
          <w:color w:val="auto"/>
        </w:rPr>
      </w:pPr>
      <w:r>
        <w:rPr>
          <w:rFonts w:ascii="Times New Roman" w:cs="Times New Roman" w:eastAsia="Times New Roman" w:hAnsi="Times New Roman"/>
          <w:sz w:val="17"/>
          <w:szCs w:val="17"/>
          <w:color w:val="auto"/>
        </w:rPr>
        <w:t>Zai Lab Limited was incorporated on March 28, 2013 in the Cayman Islands as an exempted company with limited liability under the Companies Act of the Cayman Islands (as amended). Zai Lab Limited and its subsidiaries (collectively referred to as the “Company”) are focused on discovering, developing, and commercializing products that address medical conditions with significant unmet needs in the areas of oncology, immunology, neuroscience, and infectious disease.</w:t>
      </w:r>
    </w:p>
    <w:p>
      <w:pPr>
        <w:spacing w:after="0" w:line="107" w:lineRule="exact"/>
        <w:rPr>
          <w:sz w:val="20"/>
          <w:szCs w:val="20"/>
          <w:color w:val="auto"/>
        </w:rPr>
      </w:pPr>
    </w:p>
    <w:p>
      <w:pPr>
        <w:ind w:right="360" w:firstLine="470"/>
        <w:spacing w:after="0" w:line="343" w:lineRule="auto"/>
        <w:rPr>
          <w:sz w:val="20"/>
          <w:szCs w:val="20"/>
          <w:color w:val="auto"/>
        </w:rPr>
      </w:pPr>
      <w:r>
        <w:rPr>
          <w:rFonts w:ascii="Times New Roman" w:cs="Times New Roman" w:eastAsia="Times New Roman" w:hAnsi="Times New Roman"/>
          <w:sz w:val="17"/>
          <w:szCs w:val="17"/>
          <w:color w:val="auto"/>
        </w:rPr>
        <w:t>The Company’s principal operations and geographic markets are in Greater China. The Company has a substantial presence in Greater China and the United States.</w:t>
      </w:r>
    </w:p>
    <w:p>
      <w:pPr>
        <w:spacing w:after="0" w:line="223" w:lineRule="exact"/>
        <w:rPr>
          <w:sz w:val="20"/>
          <w:szCs w:val="20"/>
          <w:color w:val="auto"/>
        </w:rPr>
      </w:pPr>
    </w:p>
    <w:p>
      <w:pPr>
        <w:ind w:right="5420"/>
        <w:spacing w:after="0" w:line="458" w:lineRule="auto"/>
        <w:rPr>
          <w:sz w:val="20"/>
          <w:szCs w:val="20"/>
          <w:color w:val="auto"/>
        </w:rPr>
      </w:pPr>
      <w:r>
        <w:rPr>
          <w:rFonts w:ascii="Times New Roman" w:cs="Times New Roman" w:eastAsia="Times New Roman" w:hAnsi="Times New Roman"/>
          <w:sz w:val="17"/>
          <w:szCs w:val="17"/>
          <w:b w:val="1"/>
          <w:bCs w:val="1"/>
          <w:color w:val="auto"/>
        </w:rPr>
        <w:t xml:space="preserve">2. Basis of Presentation and Consolidation and Significant Accounting Policies </w:t>
      </w:r>
      <w:r>
        <w:rPr>
          <w:rFonts w:ascii="Times New Roman" w:cs="Times New Roman" w:eastAsia="Times New Roman" w:hAnsi="Times New Roman"/>
          <w:sz w:val="17"/>
          <w:szCs w:val="17"/>
          <w:b w:val="1"/>
          <w:bCs w:val="1"/>
          <w:i w:val="1"/>
          <w:iCs w:val="1"/>
          <w:color w:val="auto"/>
        </w:rPr>
        <w:t>(a) Basis of Presentation</w:t>
      </w:r>
    </w:p>
    <w:p>
      <w:pPr>
        <w:spacing w:after="0" w:line="1" w:lineRule="exact"/>
        <w:rPr>
          <w:sz w:val="20"/>
          <w:szCs w:val="20"/>
          <w:color w:val="auto"/>
        </w:rPr>
      </w:pPr>
    </w:p>
    <w:p>
      <w:pPr>
        <w:ind w:right="60" w:firstLine="470"/>
        <w:spacing w:after="0" w:line="303"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in accordance with U.S. generally accepted accounting principles (“U.S. GAAP”), and applicable rules and regulations of the U.S. Securities and Exchange Commission (the “SEC”), regarding interim financial reporting. Certain information and note disclosures normally included in the financial statements prepared in accordance with U.S. GAAP have been condensed or omitted pursuant to such rules and regulations. As such, the information included in this report should be read in conjunction with the consolidated financial statements and accompanying notes included in the Annual Report on Form 10-K for the year ended December 31, 2025 (the “2025 Annual Report”). The December 31, 2025 condensed consolidated balance sheet data included in this report were derived from the audited financial statements in the 2025 Annual Report.</w:t>
      </w:r>
    </w:p>
    <w:p>
      <w:pPr>
        <w:spacing w:after="0" w:line="128" w:lineRule="exact"/>
        <w:rPr>
          <w:sz w:val="20"/>
          <w:szCs w:val="20"/>
          <w:color w:val="auto"/>
        </w:rPr>
      </w:pPr>
    </w:p>
    <w:p>
      <w:pPr>
        <w:ind w:right="60" w:firstLine="470"/>
        <w:spacing w:after="0" w:line="327"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reflect all normal recurring adjustments that are necessary to present fairly the results for the interim periods presented. Interim results are not necessarily indicative of the results for the year ending December 31, 2026.</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 Principles of Consolidation</w:t>
      </w:r>
    </w:p>
    <w:p>
      <w:pPr>
        <w:spacing w:after="0" w:line="188" w:lineRule="exact"/>
        <w:rPr>
          <w:sz w:val="20"/>
          <w:szCs w:val="20"/>
          <w:color w:val="auto"/>
        </w:rPr>
      </w:pPr>
    </w:p>
    <w:p>
      <w:pPr>
        <w:ind w:right="280" w:firstLine="470"/>
        <w:spacing w:after="0" w:line="343" w:lineRule="auto"/>
        <w:rPr>
          <w:sz w:val="20"/>
          <w:szCs w:val="20"/>
          <w:color w:val="auto"/>
        </w:rPr>
      </w:pPr>
      <w:r>
        <w:rPr>
          <w:rFonts w:ascii="Times New Roman" w:cs="Times New Roman" w:eastAsia="Times New Roman" w:hAnsi="Times New Roman"/>
          <w:sz w:val="17"/>
          <w:szCs w:val="17"/>
          <w:color w:val="auto"/>
        </w:rPr>
        <w:t>The unaudited condensed consolidated financial statements include the accounts of Zai Lab Limited and its subsidiaries, which are wholly owned. All intercompany transactions and balances are eliminated upon consolidation.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 Use of Estimates</w:t>
      </w:r>
    </w:p>
    <w:p>
      <w:pPr>
        <w:spacing w:after="0" w:line="188" w:lineRule="exact"/>
        <w:rPr>
          <w:sz w:val="20"/>
          <w:szCs w:val="20"/>
          <w:color w:val="auto"/>
        </w:rPr>
      </w:pPr>
    </w:p>
    <w:p>
      <w:pPr>
        <w:ind w:firstLine="470"/>
        <w:spacing w:after="0" w:line="303" w:lineRule="auto"/>
        <w:rPr>
          <w:sz w:val="20"/>
          <w:szCs w:val="20"/>
          <w:color w:val="auto"/>
        </w:rPr>
      </w:pPr>
      <w:r>
        <w:rPr>
          <w:rFonts w:ascii="Times New Roman" w:cs="Times New Roman" w:eastAsia="Times New Roman" w:hAnsi="Times New Roman"/>
          <w:sz w:val="17"/>
          <w:szCs w:val="17"/>
          <w:color w:val="auto"/>
        </w:rPr>
        <w:t>The preparation of the unaudited condensed consolidated financial statements in conformity with U.S. GAAP requires management to make estimates, judgments, and assumptions that affect the reported amounts of assets and liabilities and disclosures of contingent assets and liabilities at the date of the financial statements and the reported amounts of revenues and expenses during the period. Areas where management uses subjective judgment include, but are not limited to, accrual of rebates, recognition of research and development expenses based on the Company’s estimates of the actual services performed by CROs and CMOs, fair value of share-based compensation expenses, recoverability of deferred tax assets, and useful life of intangible assets for commercial products. These estimates, judgments, and assumptions can affect the reported amounts of assets and liabilities as of the date of the financial statements as well as the reported amounts of revenues and expenses during the periods presented. Actual results could differ from these estimates.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 Fair Value Measurements</w:t>
      </w:r>
    </w:p>
    <w:p>
      <w:pPr>
        <w:spacing w:after="0" w:line="188" w:lineRule="exact"/>
        <w:rPr>
          <w:sz w:val="20"/>
          <w:szCs w:val="20"/>
          <w:color w:val="auto"/>
        </w:rPr>
      </w:pPr>
    </w:p>
    <w:p>
      <w:pPr>
        <w:ind w:right="140" w:firstLine="470"/>
        <w:spacing w:after="0" w:line="307" w:lineRule="auto"/>
        <w:rPr>
          <w:sz w:val="20"/>
          <w:szCs w:val="20"/>
          <w:color w:val="auto"/>
        </w:rPr>
      </w:pPr>
      <w:r>
        <w:rPr>
          <w:rFonts w:ascii="Times New Roman" w:cs="Times New Roman" w:eastAsia="Times New Roman" w:hAnsi="Times New Roman"/>
          <w:sz w:val="17"/>
          <w:szCs w:val="17"/>
          <w:color w:val="auto"/>
        </w:rPr>
        <w:t>Financial instruments of the Company primarily include cash and cash equivalents, current restricted cash, short-term investments, accounts receivable, notes receivable, prepayments and other current assets, non-current restricted cash, accounts payable, short-term debt, and other current liabilities. As of March 31, 2026 and December 31, 2025, the carrying values of cash and cash equivalents, current restricted cash, short-term investments, accounts receivable, prepayments and</w:t>
      </w:r>
    </w:p>
    <w:p>
      <w:pPr>
        <w:spacing w:after="0" w:line="200" w:lineRule="exact"/>
        <w:rPr>
          <w:sz w:val="20"/>
          <w:szCs w:val="20"/>
          <w:color w:val="auto"/>
        </w:rPr>
      </w:pPr>
    </w:p>
    <w:p>
      <w:pPr>
        <w:spacing w:after="0" w:line="34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563"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color w:val="auto"/>
        </w:rPr>
        <w:t>Zai Lab Limited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20"/>
        <w:spacing w:after="0" w:line="316" w:lineRule="auto"/>
        <w:rPr>
          <w:sz w:val="20"/>
          <w:szCs w:val="20"/>
          <w:color w:val="auto"/>
        </w:rPr>
      </w:pPr>
      <w:r>
        <w:rPr>
          <w:rFonts w:ascii="Times New Roman" w:cs="Times New Roman" w:eastAsia="Times New Roman" w:hAnsi="Times New Roman"/>
          <w:sz w:val="17"/>
          <w:szCs w:val="17"/>
          <w:color w:val="auto"/>
        </w:rPr>
        <w:t>other current assets, accounts payable, short-term debt, and other current liabilities approximated their fair value due to the short-term maturity of these instruments, and the carrying value of notes receivable and non-current restricted cash approximated their fair value based on the assessment of the ability to recover these amounts.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 Recent Accounting Pronouncements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 Not Yet Adopted</w:t>
      </w:r>
    </w:p>
    <w:p>
      <w:pPr>
        <w:spacing w:after="0" w:line="199" w:lineRule="exact"/>
        <w:rPr>
          <w:sz w:val="20"/>
          <w:szCs w:val="20"/>
          <w:color w:val="auto"/>
        </w:rPr>
      </w:pPr>
    </w:p>
    <w:p>
      <w:pPr>
        <w:ind w:right="40" w:firstLine="470"/>
        <w:spacing w:after="0" w:line="306" w:lineRule="auto"/>
        <w:rPr>
          <w:sz w:val="20"/>
          <w:szCs w:val="20"/>
          <w:color w:val="auto"/>
        </w:rPr>
      </w:pPr>
      <w:r>
        <w:rPr>
          <w:rFonts w:ascii="Times New Roman" w:cs="Times New Roman" w:eastAsia="Times New Roman" w:hAnsi="Times New Roman"/>
          <w:sz w:val="17"/>
          <w:szCs w:val="17"/>
          <w:color w:val="auto"/>
        </w:rPr>
        <w:t xml:space="preserve">In November 2024, the FASB issued ASU No. 2024-03, </w:t>
      </w:r>
      <w:r>
        <w:rPr>
          <w:rFonts w:ascii="Times New Roman" w:cs="Times New Roman" w:eastAsia="Times New Roman" w:hAnsi="Times New Roman"/>
          <w:sz w:val="17"/>
          <w:szCs w:val="17"/>
          <w:i w:val="1"/>
          <w:iCs w:val="1"/>
          <w:color w:val="auto"/>
        </w:rPr>
        <w:t>Income Statement - Reporting Comprehensive Income - Expense Disaggregation Disclosures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(Subtopic 220-40): Disaggregation of Income Statement Expenses</w:t>
      </w:r>
      <w:r>
        <w:rPr>
          <w:rFonts w:ascii="Times New Roman" w:cs="Times New Roman" w:eastAsia="Times New Roman" w:hAnsi="Times New Roman"/>
          <w:sz w:val="17"/>
          <w:szCs w:val="17"/>
          <w:color w:val="auto"/>
        </w:rPr>
        <w:t>. This ASU requires disclosure in the notes to the financial statements of specified information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about certain costs and expenses. This ASU will be effective for annual reporting periods beginning after December 15, 2026 and interim reporting periods beginning after December 15, 2027. Early adoption is permitted. This ASU will result in the required additional disclosures being included in the notes to consolidated financial statements, once adopted. The Company is currently evaluating the impact of this ASU and expects to adopt it for the year ending December 31, 2027.</w:t>
      </w:r>
    </w:p>
    <w:p>
      <w:pPr>
        <w:spacing w:after="0" w:line="114" w:lineRule="exact"/>
        <w:rPr>
          <w:sz w:val="20"/>
          <w:szCs w:val="20"/>
          <w:color w:val="auto"/>
        </w:rPr>
      </w:pPr>
    </w:p>
    <w:p>
      <w:pPr>
        <w:ind w:firstLine="470"/>
        <w:spacing w:after="0" w:line="343" w:lineRule="auto"/>
        <w:rPr>
          <w:sz w:val="20"/>
          <w:szCs w:val="20"/>
          <w:color w:val="auto"/>
        </w:rPr>
      </w:pPr>
      <w:r>
        <w:rPr>
          <w:rFonts w:ascii="Times New Roman" w:cs="Times New Roman" w:eastAsia="Times New Roman" w:hAnsi="Times New Roman"/>
          <w:sz w:val="17"/>
          <w:szCs w:val="17"/>
          <w:color w:val="auto"/>
        </w:rPr>
        <w:t>For additional information on the Company’s significant accounting policies, refer to the notes to the consolidated financial statements in the 2025 Annual Report.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Cash and Cash Equivalents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presents the Company’s cash and cash equivalents ($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240" w:type="dxa"/>
            <w:vAlign w:val="bottom"/>
          </w:tcPr>
          <w:p>
            <w:pPr>
              <w:spacing w:after="0"/>
              <w:rPr>
                <w:sz w:val="18"/>
                <w:szCs w:val="18"/>
                <w:color w:val="auto"/>
              </w:rPr>
            </w:pPr>
          </w:p>
        </w:tc>
        <w:tc>
          <w:tcPr>
            <w:tcW w:w="204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94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0" w:type="dxa"/>
            <w:vAlign w:val="bottom"/>
          </w:tcPr>
          <w:p>
            <w:pPr>
              <w:spacing w:after="0"/>
              <w:rPr>
                <w:sz w:val="1"/>
                <w:szCs w:val="1"/>
                <w:color w:val="auto"/>
              </w:rPr>
            </w:pPr>
          </w:p>
        </w:tc>
      </w:tr>
      <w:tr>
        <w:trPr>
          <w:trHeight w:val="218"/>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650,092</w:t>
            </w: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678,358</w:t>
            </w:r>
          </w:p>
        </w:tc>
        <w:tc>
          <w:tcPr>
            <w:tcW w:w="0" w:type="dxa"/>
            <w:vAlign w:val="bottom"/>
          </w:tcPr>
          <w:p>
            <w:pPr>
              <w:spacing w:after="0"/>
              <w:rPr>
                <w:sz w:val="1"/>
                <w:szCs w:val="1"/>
                <w:color w:val="auto"/>
              </w:rPr>
            </w:pPr>
          </w:p>
        </w:tc>
      </w:tr>
      <w:tr>
        <w:trPr>
          <w:trHeight w:val="222"/>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equivalents (i)</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1,224</w:t>
            </w:r>
          </w:p>
        </w:tc>
        <w:tc>
          <w:tcPr>
            <w:tcW w:w="10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1,215</w:t>
            </w:r>
          </w:p>
        </w:tc>
        <w:tc>
          <w:tcPr>
            <w:tcW w:w="0" w:type="dxa"/>
            <w:vAlign w:val="bottom"/>
          </w:tcPr>
          <w:p>
            <w:pPr>
              <w:spacing w:after="0"/>
              <w:rPr>
                <w:sz w:val="1"/>
                <w:szCs w:val="1"/>
                <w:color w:val="auto"/>
              </w:rPr>
            </w:pPr>
          </w:p>
        </w:tc>
      </w:tr>
      <w:tr>
        <w:trPr>
          <w:trHeight w:val="240"/>
        </w:trPr>
        <w:tc>
          <w:tcPr>
            <w:tcW w:w="724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651,316</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679,573</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Denominated in:</w:t>
            </w: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240" w:type="dxa"/>
            <w:vAlign w:val="bottom"/>
            <w:vMerge w:val="continue"/>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631,882</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651,196</w:t>
            </w:r>
          </w:p>
        </w:tc>
        <w:tc>
          <w:tcPr>
            <w:tcW w:w="0" w:type="dxa"/>
            <w:vAlign w:val="bottom"/>
          </w:tcPr>
          <w:p>
            <w:pPr>
              <w:spacing w:after="0"/>
              <w:rPr>
                <w:sz w:val="1"/>
                <w:szCs w:val="1"/>
                <w:color w:val="auto"/>
              </w:rPr>
            </w:pPr>
          </w:p>
        </w:tc>
      </w:tr>
      <w:tr>
        <w:trPr>
          <w:trHeight w:val="222"/>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Renminbi (“RMB”) (ii)</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15,757</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25,358</w:t>
            </w:r>
          </w:p>
        </w:tc>
        <w:tc>
          <w:tcPr>
            <w:tcW w:w="0" w:type="dxa"/>
            <w:vAlign w:val="bottom"/>
          </w:tcPr>
          <w:p>
            <w:pPr>
              <w:spacing w:after="0"/>
              <w:rPr>
                <w:sz w:val="1"/>
                <w:szCs w:val="1"/>
                <w:color w:val="auto"/>
              </w:rPr>
            </w:pPr>
          </w:p>
        </w:tc>
      </w:tr>
      <w:tr>
        <w:trPr>
          <w:trHeight w:val="222"/>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Hong Kong dollar (“HK$”)</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2,887</w:t>
            </w: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2,020</w:t>
            </w:r>
          </w:p>
        </w:tc>
        <w:tc>
          <w:tcPr>
            <w:tcW w:w="0" w:type="dxa"/>
            <w:vAlign w:val="bottom"/>
          </w:tcPr>
          <w:p>
            <w:pPr>
              <w:spacing w:after="0"/>
              <w:rPr>
                <w:sz w:val="1"/>
                <w:szCs w:val="1"/>
                <w:color w:val="auto"/>
              </w:rPr>
            </w:pPr>
          </w:p>
        </w:tc>
      </w:tr>
      <w:tr>
        <w:trPr>
          <w:trHeight w:val="222"/>
        </w:trPr>
        <w:tc>
          <w:tcPr>
            <w:tcW w:w="7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Australian dollar (“A$”)</w:t>
            </w: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w:t>
            </w:r>
          </w:p>
        </w:tc>
        <w:tc>
          <w:tcPr>
            <w:tcW w:w="1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w:t>
            </w:r>
          </w:p>
        </w:tc>
        <w:tc>
          <w:tcPr>
            <w:tcW w:w="0" w:type="dxa"/>
            <w:vAlign w:val="bottom"/>
          </w:tcPr>
          <w:p>
            <w:pPr>
              <w:spacing w:after="0"/>
              <w:rPr>
                <w:sz w:val="1"/>
                <w:szCs w:val="1"/>
                <w:color w:val="auto"/>
              </w:rPr>
            </w:pPr>
          </w:p>
        </w:tc>
      </w:tr>
      <w:tr>
        <w:trPr>
          <w:trHeight w:val="222"/>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Taiwan dollar (“TW$”)</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00" w:type="dxa"/>
            <w:vAlign w:val="bottom"/>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0" w:type="dxa"/>
            <w:vAlign w:val="bottom"/>
          </w:tcPr>
          <w:p>
            <w:pPr>
              <w:spacing w:after="0"/>
              <w:rPr>
                <w:sz w:val="1"/>
                <w:szCs w:val="1"/>
                <w:color w:val="auto"/>
              </w:rPr>
            </w:pPr>
          </w:p>
        </w:tc>
      </w:tr>
      <w:tr>
        <w:trPr>
          <w:trHeight w:val="215"/>
        </w:trPr>
        <w:tc>
          <w:tcPr>
            <w:tcW w:w="7240" w:type="dxa"/>
            <w:vAlign w:val="bottom"/>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651,316</w:t>
            </w:r>
          </w:p>
        </w:tc>
        <w:tc>
          <w:tcPr>
            <w:tcW w:w="100" w:type="dxa"/>
            <w:vAlign w:val="bottom"/>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679,573</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left="460" w:hanging="455"/>
        <w:spacing w:after="0"/>
        <w:tabs>
          <w:tab w:leader="none" w:pos="4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equivalents represent short-term and highly liquid investments in a money market fund.</w:t>
      </w:r>
    </w:p>
    <w:p>
      <w:pPr>
        <w:spacing w:after="0" w:line="170" w:lineRule="exact"/>
        <w:rPr>
          <w:rFonts w:ascii="Times New Roman" w:cs="Times New Roman" w:eastAsia="Times New Roman" w:hAnsi="Times New Roman"/>
          <w:sz w:val="17"/>
          <w:szCs w:val="17"/>
          <w:color w:val="auto"/>
        </w:rPr>
      </w:pPr>
    </w:p>
    <w:p>
      <w:pPr>
        <w:ind w:left="480" w:right="20" w:hanging="475"/>
        <w:spacing w:after="0" w:line="295" w:lineRule="auto"/>
        <w:tabs>
          <w:tab w:leader="none" w:pos="471"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cash and bank balances denominated in RMB were deposited with banks in mainland China. The conversion of these RMB-denominated balances into foreign currencies is subject to the rules and regulations of foreign exchange control promulgated by the Chinese government.</w:t>
      </w:r>
    </w:p>
    <w:p>
      <w:pPr>
        <w:spacing w:after="0" w:line="200" w:lineRule="exact"/>
        <w:rPr>
          <w:sz w:val="20"/>
          <w:szCs w:val="20"/>
          <w:color w:val="auto"/>
        </w:rPr>
      </w:pPr>
    </w:p>
    <w:p>
      <w:pPr>
        <w:spacing w:after="0" w:line="32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Zai Lab Limited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Inventories, Net</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presents the Company’s inventories, net ($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440" w:type="dxa"/>
            <w:vAlign w:val="bottom"/>
          </w:tcPr>
          <w:p>
            <w:pPr>
              <w:spacing w:after="0"/>
              <w:rPr>
                <w:sz w:val="18"/>
                <w:szCs w:val="18"/>
                <w:color w:val="auto"/>
              </w:rPr>
            </w:pPr>
          </w:p>
        </w:tc>
        <w:tc>
          <w:tcPr>
            <w:tcW w:w="194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4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18"/>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53,269</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45,848</w:t>
            </w:r>
          </w:p>
        </w:tc>
      </w:tr>
      <w:tr>
        <w:trPr>
          <w:trHeight w:val="222"/>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24,254</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23,106</w:t>
            </w:r>
          </w:p>
        </w:tc>
      </w:tr>
      <w:tr>
        <w:trPr>
          <w:trHeight w:val="222"/>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Work in progress</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8,438</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5,791</w:t>
            </w:r>
          </w:p>
        </w:tc>
      </w:tr>
      <w:tr>
        <w:trPr>
          <w:trHeight w:val="215"/>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Inventories, net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85,961</w:t>
            </w:r>
          </w:p>
        </w:tc>
        <w:tc>
          <w:tcPr>
            <w:tcW w:w="10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74,745</w:t>
            </w:r>
          </w:p>
        </w:tc>
      </w:tr>
      <w:tr>
        <w:trPr>
          <w:trHeight w:val="20"/>
        </w:trPr>
        <w:tc>
          <w:tcPr>
            <w:tcW w:w="744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right="120" w:firstLine="426"/>
        <w:spacing w:after="0" w:line="316" w:lineRule="auto"/>
        <w:rPr>
          <w:sz w:val="20"/>
          <w:szCs w:val="20"/>
          <w:color w:val="auto"/>
        </w:rPr>
      </w:pPr>
      <w:r>
        <w:rPr>
          <w:rFonts w:ascii="Times New Roman" w:cs="Times New Roman" w:eastAsia="Times New Roman" w:hAnsi="Times New Roman"/>
          <w:sz w:val="17"/>
          <w:szCs w:val="17"/>
          <w:color w:val="auto"/>
        </w:rPr>
        <w:t>The Company writes down inventory for any excess or obsolete inventory or when the Company believes that the net realizable value of inventory is less than the carrying value. The Company recorded write-downs in inventory, which were included in cost of product revenue, of $0.2 million and insignificant amounts in the first quarter of 2026 and 2025, respectively.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Property and Equipment, Net</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presents the components of the Company’s property and equipment, net ($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240" w:type="dxa"/>
            <w:vAlign w:val="bottom"/>
          </w:tcPr>
          <w:p>
            <w:pPr>
              <w:spacing w:after="0"/>
              <w:rPr>
                <w:sz w:val="18"/>
                <w:szCs w:val="18"/>
                <w:color w:val="auto"/>
              </w:rPr>
            </w:pPr>
          </w:p>
        </w:tc>
        <w:tc>
          <w:tcPr>
            <w:tcW w:w="2540" w:type="dxa"/>
            <w:vAlign w:val="bottom"/>
            <w:gridSpan w:val="2"/>
          </w:tcPr>
          <w:p>
            <w:pPr>
              <w:ind w:left="7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2460" w:type="dxa"/>
            <w:vAlign w:val="bottom"/>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45"/>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Office equipment</w:t>
            </w:r>
          </w:p>
        </w:tc>
        <w:tc>
          <w:tcPr>
            <w:tcW w:w="2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1,206</w:t>
            </w:r>
          </w:p>
        </w:tc>
        <w:tc>
          <w:tcPr>
            <w:tcW w:w="80" w:type="dxa"/>
            <w:vAlign w:val="bottom"/>
            <w:tcBorders>
              <w:top w:val="single" w:sz="8" w:color="CCEEFF"/>
            </w:tcBorders>
            <w:shd w:val="clear" w:color="auto" w:fill="CCEEFF"/>
          </w:tcPr>
          <w:p>
            <w:pPr>
              <w:spacing w:after="0"/>
              <w:rPr>
                <w:sz w:val="21"/>
                <w:szCs w:val="21"/>
                <w:color w:val="auto"/>
              </w:rPr>
            </w:pPr>
          </w:p>
        </w:tc>
        <w:tc>
          <w:tcPr>
            <w:tcW w:w="2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1,201</w:t>
            </w:r>
          </w:p>
        </w:tc>
      </w:tr>
      <w:tr>
        <w:trPr>
          <w:trHeight w:val="242"/>
        </w:trPr>
        <w:tc>
          <w:tcPr>
            <w:tcW w:w="6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Electronic equipment</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11,964</w:t>
            </w:r>
          </w:p>
        </w:tc>
        <w:tc>
          <w:tcPr>
            <w:tcW w:w="80" w:type="dxa"/>
            <w:vAlign w:val="bottom"/>
          </w:tcPr>
          <w:p>
            <w:pPr>
              <w:spacing w:after="0"/>
              <w:rPr>
                <w:sz w:val="21"/>
                <w:szCs w:val="21"/>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10,964</w:t>
            </w:r>
          </w:p>
        </w:tc>
      </w:tr>
      <w:tr>
        <w:trPr>
          <w:trHeight w:val="255"/>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Vehicle</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80" w:type="dxa"/>
            <w:vAlign w:val="bottom"/>
            <w:shd w:val="clear" w:color="auto" w:fill="CCEEFF"/>
          </w:tcPr>
          <w:p>
            <w:pPr>
              <w:spacing w:after="0"/>
              <w:rPr>
                <w:sz w:val="22"/>
                <w:szCs w:val="22"/>
                <w:color w:val="auto"/>
              </w:rPr>
            </w:pP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r>
      <w:tr>
        <w:trPr>
          <w:trHeight w:val="242"/>
        </w:trPr>
        <w:tc>
          <w:tcPr>
            <w:tcW w:w="6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Laboratory equipment</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20,207</w:t>
            </w:r>
          </w:p>
        </w:tc>
        <w:tc>
          <w:tcPr>
            <w:tcW w:w="80" w:type="dxa"/>
            <w:vAlign w:val="bottom"/>
          </w:tcPr>
          <w:p>
            <w:pPr>
              <w:spacing w:after="0"/>
              <w:rPr>
                <w:sz w:val="21"/>
                <w:szCs w:val="21"/>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20,040</w:t>
            </w:r>
          </w:p>
        </w:tc>
      </w:tr>
      <w:tr>
        <w:trPr>
          <w:trHeight w:val="255"/>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Manufacturing equipment</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18,231</w:t>
            </w:r>
          </w:p>
        </w:tc>
        <w:tc>
          <w:tcPr>
            <w:tcW w:w="80" w:type="dxa"/>
            <w:vAlign w:val="bottom"/>
            <w:shd w:val="clear" w:color="auto" w:fill="CCEEFF"/>
          </w:tcPr>
          <w:p>
            <w:pPr>
              <w:spacing w:after="0"/>
              <w:rPr>
                <w:sz w:val="22"/>
                <w:szCs w:val="22"/>
                <w:color w:val="auto"/>
              </w:rPr>
            </w:pP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17,948</w:t>
            </w:r>
          </w:p>
        </w:tc>
      </w:tr>
      <w:tr>
        <w:trPr>
          <w:trHeight w:val="242"/>
        </w:trPr>
        <w:tc>
          <w:tcPr>
            <w:tcW w:w="6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14,236</w:t>
            </w:r>
          </w:p>
        </w:tc>
        <w:tc>
          <w:tcPr>
            <w:tcW w:w="80" w:type="dxa"/>
            <w:vAlign w:val="bottom"/>
          </w:tcPr>
          <w:p>
            <w:pPr>
              <w:spacing w:after="0"/>
              <w:rPr>
                <w:sz w:val="21"/>
                <w:szCs w:val="21"/>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14,049</w:t>
            </w:r>
          </w:p>
        </w:tc>
      </w:tr>
      <w:tr>
        <w:trPr>
          <w:trHeight w:val="255"/>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Building</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24,985</w:t>
            </w:r>
          </w:p>
        </w:tc>
        <w:tc>
          <w:tcPr>
            <w:tcW w:w="80" w:type="dxa"/>
            <w:vAlign w:val="bottom"/>
            <w:shd w:val="clear" w:color="auto" w:fill="CCEEFF"/>
          </w:tcPr>
          <w:p>
            <w:pPr>
              <w:spacing w:after="0"/>
              <w:rPr>
                <w:sz w:val="22"/>
                <w:szCs w:val="22"/>
                <w:color w:val="auto"/>
              </w:rPr>
            </w:pP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24,596</w:t>
            </w:r>
          </w:p>
        </w:tc>
      </w:tr>
      <w:tr>
        <w:trPr>
          <w:trHeight w:val="242"/>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681</w:t>
            </w:r>
          </w:p>
        </w:tc>
        <w:tc>
          <w:tcPr>
            <w:tcW w:w="80" w:type="dxa"/>
            <w:vAlign w:val="bottom"/>
            <w:tcBorders>
              <w:bottom w:val="single" w:sz="8" w:color="CCEEFF"/>
            </w:tcBorders>
          </w:tcPr>
          <w:p>
            <w:pPr>
              <w:spacing w:after="0"/>
              <w:rPr>
                <w:sz w:val="21"/>
                <w:szCs w:val="21"/>
                <w:color w:val="auto"/>
              </w:rPr>
            </w:pP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554</w:t>
            </w:r>
          </w:p>
        </w:tc>
      </w:tr>
      <w:tr>
        <w:trPr>
          <w:trHeight w:val="248"/>
        </w:trPr>
        <w:tc>
          <w:tcPr>
            <w:tcW w:w="6240" w:type="dxa"/>
            <w:vAlign w:val="bottom"/>
            <w:shd w:val="clear" w:color="auto" w:fill="CCEEFF"/>
          </w:tcPr>
          <w:p>
            <w:pPr>
              <w:spacing w:after="0"/>
              <w:rPr>
                <w:sz w:val="21"/>
                <w:szCs w:val="21"/>
                <w:color w:val="auto"/>
              </w:rPr>
            </w:pP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91,713</w:t>
            </w:r>
          </w:p>
        </w:tc>
        <w:tc>
          <w:tcPr>
            <w:tcW w:w="80" w:type="dxa"/>
            <w:vAlign w:val="bottom"/>
            <w:shd w:val="clear" w:color="auto" w:fill="CCEEFF"/>
          </w:tcPr>
          <w:p>
            <w:pPr>
              <w:spacing w:after="0"/>
              <w:rPr>
                <w:sz w:val="21"/>
                <w:szCs w:val="21"/>
                <w:color w:val="auto"/>
              </w:rPr>
            </w:pP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89,552</w:t>
            </w:r>
          </w:p>
        </w:tc>
      </w:tr>
      <w:tr>
        <w:trPr>
          <w:trHeight w:val="242"/>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(44,646)</w:t>
            </w:r>
          </w:p>
        </w:tc>
        <w:tc>
          <w:tcPr>
            <w:tcW w:w="80" w:type="dxa"/>
            <w:vAlign w:val="bottom"/>
            <w:tcBorders>
              <w:bottom w:val="single" w:sz="8" w:color="CCEEFF"/>
            </w:tcBorders>
          </w:tcPr>
          <w:p>
            <w:pPr>
              <w:spacing w:after="0"/>
              <w:rPr>
                <w:sz w:val="21"/>
                <w:szCs w:val="21"/>
                <w:color w:val="auto"/>
              </w:rPr>
            </w:pP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(42,163)</w:t>
            </w:r>
          </w:p>
        </w:tc>
      </w:tr>
      <w:tr>
        <w:trPr>
          <w:trHeight w:val="266"/>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47,067</w:t>
            </w:r>
          </w:p>
        </w:tc>
        <w:tc>
          <w:tcPr>
            <w:tcW w:w="80" w:type="dxa"/>
            <w:vAlign w:val="bottom"/>
            <w:tcBorders>
              <w:bottom w:val="single" w:sz="8" w:color="CCEEFF"/>
            </w:tcBorders>
            <w:shd w:val="clear" w:color="auto" w:fill="CCEEFF"/>
          </w:tcPr>
          <w:p>
            <w:pPr>
              <w:spacing w:after="0"/>
              <w:rPr>
                <w:sz w:val="22"/>
                <w:szCs w:val="22"/>
                <w:color w:val="auto"/>
              </w:rPr>
            </w:pPr>
          </w:p>
        </w:tc>
        <w:tc>
          <w:tcPr>
            <w:tcW w:w="2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47,389</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Depreciation expense was $2.3 million and $2.0 million in the first quarter of 2026 and 2025, respectively.</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Intangible Assets, Net</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presents the components of the Company’s intangible assets, net ($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98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7"/>
              </w:rPr>
              <w:t>March 31, 2026</w:t>
            </w:r>
          </w:p>
        </w:tc>
        <w:tc>
          <w:tcPr>
            <w:tcW w:w="1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980" w:type="dxa"/>
            <w:vAlign w:val="bottom"/>
          </w:tcPr>
          <w:p>
            <w:pPr>
              <w:spacing w:after="0"/>
              <w:rPr>
                <w:sz w:val="11"/>
                <w:szCs w:val="11"/>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Gross Carrying Amount</w:t>
            </w:r>
          </w:p>
        </w:tc>
        <w:tc>
          <w:tcPr>
            <w:tcW w:w="130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1600" w:type="dxa"/>
            <w:vAlign w:val="bottom"/>
            <w:vMerge w:val="restart"/>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w w:val="99"/>
              </w:rPr>
              <w:t>Gross Carrying Amount</w:t>
            </w:r>
          </w:p>
        </w:tc>
        <w:tc>
          <w:tcPr>
            <w:tcW w:w="120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0" w:type="dxa"/>
            <w:vAlign w:val="bottom"/>
          </w:tcPr>
          <w:p>
            <w:pPr>
              <w:spacing w:after="0"/>
              <w:rPr>
                <w:sz w:val="1"/>
                <w:szCs w:val="1"/>
                <w:color w:val="auto"/>
              </w:rPr>
            </w:pPr>
          </w:p>
        </w:tc>
      </w:tr>
      <w:tr>
        <w:trPr>
          <w:trHeight w:val="189"/>
        </w:trPr>
        <w:tc>
          <w:tcPr>
            <w:tcW w:w="298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30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38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120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Finite-lived intangible assets</w:t>
            </w:r>
          </w:p>
        </w:tc>
        <w:tc>
          <w:tcPr>
            <w:tcW w:w="15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Commercial products</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84,562</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(9,678)</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74,884</w:t>
            </w:r>
          </w:p>
        </w:tc>
        <w:tc>
          <w:tcPr>
            <w:tcW w:w="100" w:type="dxa"/>
            <w:vAlign w:val="bottom"/>
          </w:tcPr>
          <w:p>
            <w:pPr>
              <w:spacing w:after="0"/>
              <w:rPr>
                <w:sz w:val="19"/>
                <w:szCs w:val="19"/>
                <w:color w:val="auto"/>
              </w:rPr>
            </w:pPr>
          </w:p>
        </w:tc>
        <w:tc>
          <w:tcPr>
            <w:tcW w:w="1600" w:type="dxa"/>
            <w:vAlign w:val="bottom"/>
          </w:tcPr>
          <w:p>
            <w:pPr>
              <w:jc w:val="right"/>
              <w:ind w:right="98"/>
              <w:spacing w:after="0"/>
              <w:rPr>
                <w:sz w:val="20"/>
                <w:szCs w:val="20"/>
                <w:color w:val="auto"/>
              </w:rPr>
            </w:pPr>
            <w:r>
              <w:rPr>
                <w:rFonts w:ascii="Times New Roman" w:cs="Times New Roman" w:eastAsia="Times New Roman" w:hAnsi="Times New Roman"/>
                <w:sz w:val="17"/>
                <w:szCs w:val="17"/>
                <w:color w:val="auto"/>
              </w:rPr>
              <w:t>83,203</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(8,056)</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75,147</w:t>
            </w:r>
          </w:p>
        </w:tc>
        <w:tc>
          <w:tcPr>
            <w:tcW w:w="0" w:type="dxa"/>
            <w:vAlign w:val="bottom"/>
          </w:tcPr>
          <w:p>
            <w:pPr>
              <w:spacing w:after="0"/>
              <w:rPr>
                <w:sz w:val="1"/>
                <w:szCs w:val="1"/>
                <w:color w:val="auto"/>
              </w:rPr>
            </w:pPr>
          </w:p>
        </w:tc>
      </w:tr>
      <w:tr>
        <w:trPr>
          <w:trHeight w:val="222"/>
        </w:trPr>
        <w:tc>
          <w:tcPr>
            <w:tcW w:w="2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Software</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(3,648)</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rPr>
              <w:t>4,461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(3,464)</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997</w:t>
            </w:r>
          </w:p>
        </w:tc>
        <w:tc>
          <w:tcPr>
            <w:tcW w:w="0" w:type="dxa"/>
            <w:vAlign w:val="bottom"/>
          </w:tcPr>
          <w:p>
            <w:pPr>
              <w:spacing w:after="0"/>
              <w:rPr>
                <w:sz w:val="1"/>
                <w:szCs w:val="1"/>
                <w:color w:val="auto"/>
              </w:rPr>
            </w:pPr>
          </w:p>
        </w:tc>
      </w:tr>
      <w:tr>
        <w:trPr>
          <w:trHeight w:val="215"/>
        </w:trPr>
        <w:tc>
          <w:tcPr>
            <w:tcW w:w="29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89,085</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(13,326)</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75,759</w:t>
            </w:r>
          </w:p>
        </w:tc>
        <w:tc>
          <w:tcPr>
            <w:tcW w:w="100" w:type="dxa"/>
            <w:vAlign w:val="bottom"/>
          </w:tcPr>
          <w:p>
            <w:pPr>
              <w:spacing w:after="0"/>
              <w:rPr>
                <w:sz w:val="18"/>
                <w:szCs w:val="18"/>
                <w:color w:val="auto"/>
              </w:rPr>
            </w:pPr>
          </w:p>
        </w:tc>
        <w:tc>
          <w:tcPr>
            <w:tcW w:w="16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7"/>
                <w:szCs w:val="17"/>
                <w:b w:val="1"/>
                <w:bCs w:val="1"/>
                <w:color w:val="auto"/>
              </w:rPr>
              <w:t>87,664</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(11,520)</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76,144</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right="500" w:firstLine="470"/>
        <w:spacing w:after="0" w:line="327" w:lineRule="auto"/>
        <w:rPr>
          <w:sz w:val="20"/>
          <w:szCs w:val="20"/>
          <w:color w:val="auto"/>
        </w:rPr>
      </w:pPr>
      <w:r>
        <w:rPr>
          <w:rFonts w:ascii="Times New Roman" w:cs="Times New Roman" w:eastAsia="Times New Roman" w:hAnsi="Times New Roman"/>
          <w:sz w:val="17"/>
          <w:szCs w:val="17"/>
          <w:color w:val="auto"/>
        </w:rPr>
        <w:t>Intangible assets for commercial products include capitalized post-approval milestone fees and acquired commercial manufacturing know-how and related development costs. The Company is amortizing intangible assets for commercial</w:t>
      </w:r>
    </w:p>
    <w:p>
      <w:pPr>
        <w:sectPr>
          <w:pgSz w:w="11900" w:h="16838" w:orient="portrait"/>
          <w:cols w:equalWidth="0" w:num="1">
            <w:col w:w="11240"/>
          </w:cols>
          <w:pgMar w:left="320" w:top="563"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color w:val="auto"/>
        </w:rPr>
        <w:t>Zai Lab Limited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60"/>
        <w:spacing w:after="0" w:line="343" w:lineRule="auto"/>
        <w:rPr>
          <w:sz w:val="20"/>
          <w:szCs w:val="20"/>
          <w:color w:val="auto"/>
        </w:rPr>
      </w:pPr>
      <w:r>
        <w:rPr>
          <w:rFonts w:ascii="Times New Roman" w:cs="Times New Roman" w:eastAsia="Times New Roman" w:hAnsi="Times New Roman"/>
          <w:sz w:val="17"/>
          <w:szCs w:val="17"/>
          <w:color w:val="auto"/>
        </w:rPr>
        <w:t>products as cost of product revenue over the estimated remaining useful life of the related products. Intangible assets for externally purchased software are amortized over three to five years on a straight-line basis.</w:t>
      </w:r>
    </w:p>
    <w:p>
      <w:pPr>
        <w:spacing w:after="0" w:line="82" w:lineRule="exact"/>
        <w:rPr>
          <w:sz w:val="20"/>
          <w:szCs w:val="20"/>
          <w:color w:val="auto"/>
        </w:rPr>
      </w:pPr>
    </w:p>
    <w:p>
      <w:pPr>
        <w:ind w:right="40" w:firstLine="470"/>
        <w:spacing w:after="0" w:line="343" w:lineRule="auto"/>
        <w:rPr>
          <w:sz w:val="20"/>
          <w:szCs w:val="20"/>
          <w:color w:val="auto"/>
        </w:rPr>
      </w:pPr>
      <w:r>
        <w:rPr>
          <w:rFonts w:ascii="Times New Roman" w:cs="Times New Roman" w:eastAsia="Times New Roman" w:hAnsi="Times New Roman"/>
          <w:sz w:val="17"/>
          <w:szCs w:val="17"/>
          <w:color w:val="auto"/>
        </w:rPr>
        <w:t>Amortization expense was $1.6 million and $1.5 million in the first quarter of 2026 and 2025, respectively. The weighted-average remaining amortization period for intangible assets for commercial products and software was 8.7 years and 2.2 years,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Revenues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Revenue, Net</w:t>
      </w:r>
    </w:p>
    <w:p>
      <w:pPr>
        <w:spacing w:after="0" w:line="214" w:lineRule="exact"/>
        <w:rPr>
          <w:sz w:val="20"/>
          <w:szCs w:val="20"/>
          <w:color w:val="auto"/>
        </w:rPr>
      </w:pPr>
    </w:p>
    <w:p>
      <w:pPr>
        <w:ind w:firstLine="470"/>
        <w:spacing w:after="0" w:line="327" w:lineRule="auto"/>
        <w:rPr>
          <w:sz w:val="20"/>
          <w:szCs w:val="20"/>
          <w:color w:val="auto"/>
        </w:rPr>
      </w:pPr>
      <w:r>
        <w:rPr>
          <w:rFonts w:ascii="Times New Roman" w:cs="Times New Roman" w:eastAsia="Times New Roman" w:hAnsi="Times New Roman"/>
          <w:sz w:val="17"/>
          <w:szCs w:val="17"/>
          <w:color w:val="auto"/>
        </w:rPr>
        <w:t>The Company’s product revenue is derived from the sales of its commercial products in Greater China. The table below presents the Company’s gross and net product revenue ($ in thousands):</w:t>
      </w:r>
    </w:p>
    <w:p>
      <w:pPr>
        <w:spacing w:after="0" w:line="136"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640" w:type="dxa"/>
            <w:vAlign w:val="bottom"/>
          </w:tcPr>
          <w:p>
            <w:pPr>
              <w:spacing w:after="0"/>
              <w:rPr>
                <w:sz w:val="17"/>
                <w:szCs w:val="17"/>
                <w:color w:val="auto"/>
              </w:rPr>
            </w:pPr>
          </w:p>
        </w:tc>
        <w:tc>
          <w:tcPr>
            <w:tcW w:w="1440" w:type="dxa"/>
            <w:vAlign w:val="bottom"/>
            <w:tcBorders>
              <w:top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2026</w:t>
            </w:r>
          </w:p>
        </w:tc>
        <w:tc>
          <w:tcPr>
            <w:tcW w:w="8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60" w:type="dxa"/>
            <w:vAlign w:val="bottom"/>
            <w:tcBorders>
              <w:top w:val="single" w:sz="8" w:color="auto"/>
            </w:tcBorders>
          </w:tcPr>
          <w:p>
            <w:pPr>
              <w:jc w:val="right"/>
              <w:ind w:right="895"/>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9"/>
        </w:trPr>
        <w:tc>
          <w:tcPr>
            <w:tcW w:w="66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revenue - gross</w:t>
            </w:r>
          </w:p>
        </w:tc>
        <w:tc>
          <w:tcPr>
            <w:tcW w:w="14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102,254</w:t>
            </w:r>
          </w:p>
        </w:tc>
        <w:tc>
          <w:tcPr>
            <w:tcW w:w="80" w:type="dxa"/>
            <w:vAlign w:val="bottom"/>
            <w:shd w:val="clear" w:color="auto" w:fill="CCEEFF"/>
          </w:tcPr>
          <w:p>
            <w:pPr>
              <w:spacing w:after="0"/>
              <w:rPr>
                <w:sz w:val="20"/>
                <w:szCs w:val="20"/>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112,333</w:t>
            </w:r>
          </w:p>
        </w:tc>
      </w:tr>
      <w:tr>
        <w:trPr>
          <w:trHeight w:val="242"/>
        </w:trPr>
        <w:tc>
          <w:tcPr>
            <w:tcW w:w="8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Less: Rebates and sales returns</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(6,698)</w:t>
            </w:r>
          </w:p>
        </w:tc>
        <w:tc>
          <w:tcPr>
            <w:tcW w:w="8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(6,683)</w:t>
            </w:r>
          </w:p>
        </w:tc>
      </w:tr>
      <w:tr>
        <w:trPr>
          <w:trHeight w:val="266"/>
        </w:trPr>
        <w:tc>
          <w:tcPr>
            <w:tcW w:w="6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revenue - net</w:t>
            </w:r>
          </w:p>
        </w:tc>
        <w:tc>
          <w:tcPr>
            <w:tcW w:w="144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95,556</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105,650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ind w:right="640" w:firstLine="470"/>
        <w:spacing w:after="0" w:line="343" w:lineRule="auto"/>
        <w:rPr>
          <w:sz w:val="20"/>
          <w:szCs w:val="20"/>
          <w:color w:val="auto"/>
        </w:rPr>
      </w:pPr>
      <w:r>
        <w:rPr>
          <w:rFonts w:ascii="Times New Roman" w:cs="Times New Roman" w:eastAsia="Times New Roman" w:hAnsi="Times New Roman"/>
          <w:sz w:val="17"/>
          <w:szCs w:val="17"/>
          <w:color w:val="auto"/>
        </w:rPr>
        <w:t>Sales rebates are offered to distributors in mainland China, and the amounts are recorded as a reduction of product revenue. Estimated rebates are determined based on contracted rates, sales volumes, and level of distributor inventories.</w:t>
      </w:r>
    </w:p>
    <w:p>
      <w:pPr>
        <w:spacing w:after="0" w:line="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presents the Company’s net revenue by commercial program ($ in thousands):</w:t>
      </w:r>
    </w:p>
    <w:p>
      <w:pPr>
        <w:spacing w:after="0" w:line="212"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640" w:type="dxa"/>
            <w:vAlign w:val="bottom"/>
          </w:tcPr>
          <w:p>
            <w:pPr>
              <w:spacing w:after="0"/>
              <w:rPr>
                <w:sz w:val="19"/>
                <w:szCs w:val="19"/>
                <w:color w:val="auto"/>
              </w:rPr>
            </w:pPr>
          </w:p>
        </w:tc>
        <w:tc>
          <w:tcPr>
            <w:tcW w:w="1500" w:type="dxa"/>
            <w:vAlign w:val="bottom"/>
            <w:tcBorders>
              <w:top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2026</w:t>
            </w:r>
          </w:p>
        </w:tc>
        <w:tc>
          <w:tcPr>
            <w:tcW w:w="7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60" w:type="dxa"/>
            <w:vAlign w:val="bottom"/>
            <w:tcBorders>
              <w:top w:val="single" w:sz="8" w:color="auto"/>
            </w:tcBorders>
          </w:tcPr>
          <w:p>
            <w:pPr>
              <w:jc w:val="right"/>
              <w:ind w:right="894"/>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0"/>
        </w:trPr>
        <w:tc>
          <w:tcPr>
            <w:tcW w:w="66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ZEJULA</w:t>
            </w:r>
          </w:p>
        </w:tc>
        <w:tc>
          <w:tcPr>
            <w:tcW w:w="15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29,967</w:t>
            </w:r>
          </w:p>
        </w:tc>
        <w:tc>
          <w:tcPr>
            <w:tcW w:w="80" w:type="dxa"/>
            <w:vAlign w:val="bottom"/>
            <w:shd w:val="clear" w:color="auto" w:fill="CCEEFF"/>
          </w:tcPr>
          <w:p>
            <w:pPr>
              <w:spacing w:after="0"/>
              <w:rPr>
                <w:sz w:val="20"/>
                <w:szCs w:val="20"/>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49,529</w:t>
            </w:r>
          </w:p>
        </w:tc>
      </w:tr>
      <w:tr>
        <w:trPr>
          <w:trHeight w:val="242"/>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VYVGART / VYVGART Hytrulo</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17,551</w:t>
            </w:r>
          </w:p>
        </w:tc>
        <w:tc>
          <w:tcPr>
            <w:tcW w:w="8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18,105</w:t>
            </w:r>
          </w:p>
        </w:tc>
      </w:tr>
      <w:tr>
        <w:trPr>
          <w:trHeight w:val="255"/>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NUZYRA</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16,262</w:t>
            </w:r>
          </w:p>
        </w:tc>
        <w:tc>
          <w:tcPr>
            <w:tcW w:w="80" w:type="dxa"/>
            <w:vAlign w:val="bottom"/>
            <w:shd w:val="clear" w:color="auto" w:fill="CCEEFF"/>
          </w:tcPr>
          <w:p>
            <w:pPr>
              <w:spacing w:after="0"/>
              <w:rPr>
                <w:sz w:val="22"/>
                <w:szCs w:val="22"/>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15,118</w:t>
            </w:r>
          </w:p>
        </w:tc>
      </w:tr>
      <w:tr>
        <w:trPr>
          <w:trHeight w:val="242"/>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OPTUNE</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12,070</w:t>
            </w:r>
          </w:p>
        </w:tc>
        <w:tc>
          <w:tcPr>
            <w:tcW w:w="8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11,363</w:t>
            </w:r>
          </w:p>
        </w:tc>
      </w:tr>
      <w:tr>
        <w:trPr>
          <w:trHeight w:val="255"/>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QINLOCK</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8,985</w:t>
            </w:r>
          </w:p>
        </w:tc>
        <w:tc>
          <w:tcPr>
            <w:tcW w:w="80" w:type="dxa"/>
            <w:vAlign w:val="bottom"/>
            <w:shd w:val="clear" w:color="auto" w:fill="CCEEFF"/>
          </w:tcPr>
          <w:p>
            <w:pPr>
              <w:spacing w:after="0"/>
              <w:rPr>
                <w:sz w:val="22"/>
                <w:szCs w:val="22"/>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8,509</w:t>
            </w:r>
          </w:p>
        </w:tc>
      </w:tr>
      <w:tr>
        <w:trPr>
          <w:trHeight w:val="242"/>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XACDURO</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8,572</w:t>
            </w:r>
          </w:p>
        </w:tc>
        <w:tc>
          <w:tcPr>
            <w:tcW w:w="8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1,117</w:t>
            </w:r>
          </w:p>
        </w:tc>
      </w:tr>
      <w:tr>
        <w:trPr>
          <w:trHeight w:val="255"/>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AUGTYRO</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1,792</w:t>
            </w:r>
          </w:p>
        </w:tc>
        <w:tc>
          <w:tcPr>
            <w:tcW w:w="80" w:type="dxa"/>
            <w:vAlign w:val="bottom"/>
            <w:shd w:val="clear" w:color="auto" w:fill="CCEEFF"/>
          </w:tcPr>
          <w:p>
            <w:pPr>
              <w:spacing w:after="0"/>
              <w:rPr>
                <w:sz w:val="22"/>
                <w:szCs w:val="22"/>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1,626</w:t>
            </w:r>
          </w:p>
        </w:tc>
      </w:tr>
      <w:tr>
        <w:trPr>
          <w:trHeight w:val="242"/>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(i)</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8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w:t>
            </w:r>
          </w:p>
        </w:tc>
      </w:tr>
      <w:tr>
        <w:trPr>
          <w:trHeight w:val="266"/>
        </w:trPr>
        <w:tc>
          <w:tcPr>
            <w:tcW w:w="6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revenue - net</w:t>
            </w:r>
          </w:p>
        </w:tc>
        <w:tc>
          <w:tcPr>
            <w:tcW w:w="1500" w:type="dxa"/>
            <w:vAlign w:val="bottom"/>
            <w:tcBorders>
              <w:top w:val="single" w:sz="8" w:color="auto"/>
              <w:bottom w:val="single" w:sz="8" w:color="auto"/>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95,556</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105,650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7"/>
          <w:szCs w:val="17"/>
          <w:color w:val="auto"/>
        </w:rPr>
        <w:t>(i)</w:t>
      </w:r>
      <w:r>
        <w:rPr>
          <w:sz w:val="20"/>
          <w:szCs w:val="20"/>
          <w:color w:val="auto"/>
        </w:rPr>
        <w:tab/>
      </w:r>
      <w:r>
        <w:rPr>
          <w:rFonts w:ascii="Times New Roman" w:cs="Times New Roman" w:eastAsia="Times New Roman" w:hAnsi="Times New Roman"/>
          <w:sz w:val="17"/>
          <w:szCs w:val="17"/>
          <w:color w:val="auto"/>
        </w:rPr>
        <w:t>Other includes product candidates sold in patient programs prior to commercialization.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Collaboration Revenue</w:t>
      </w:r>
    </w:p>
    <w:p>
      <w:pPr>
        <w:spacing w:after="0" w:line="188" w:lineRule="exact"/>
        <w:rPr>
          <w:sz w:val="20"/>
          <w:szCs w:val="20"/>
          <w:color w:val="auto"/>
        </w:rPr>
      </w:pPr>
    </w:p>
    <w:p>
      <w:pPr>
        <w:ind w:right="220" w:firstLine="470"/>
        <w:spacing w:after="0" w:line="327" w:lineRule="auto"/>
        <w:rPr>
          <w:sz w:val="20"/>
          <w:szCs w:val="20"/>
          <w:color w:val="auto"/>
        </w:rPr>
      </w:pPr>
      <w:r>
        <w:rPr>
          <w:rFonts w:ascii="Times New Roman" w:cs="Times New Roman" w:eastAsia="Times New Roman" w:hAnsi="Times New Roman"/>
          <w:sz w:val="17"/>
          <w:szCs w:val="17"/>
          <w:color w:val="auto"/>
        </w:rPr>
        <w:t>Collaboration revenue was $4.1 million and $0.8 million in the first quarter of 2026 and 2025, respectively, and mainly related to a regional license and collaboration arrangement and promotional activities in mainland China.</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Income Tax</w:t>
      </w:r>
    </w:p>
    <w:p>
      <w:pPr>
        <w:spacing w:after="0" w:line="186" w:lineRule="exact"/>
        <w:rPr>
          <w:sz w:val="20"/>
          <w:szCs w:val="20"/>
          <w:color w:val="auto"/>
        </w:rPr>
      </w:pPr>
    </w:p>
    <w:p>
      <w:pPr>
        <w:ind w:firstLine="470"/>
        <w:spacing w:after="0" w:line="327" w:lineRule="auto"/>
        <w:rPr>
          <w:sz w:val="20"/>
          <w:szCs w:val="20"/>
          <w:color w:val="auto"/>
        </w:rPr>
      </w:pPr>
      <w:r>
        <w:rPr>
          <w:rFonts w:ascii="Times New Roman" w:cs="Times New Roman" w:eastAsia="Times New Roman" w:hAnsi="Times New Roman"/>
          <w:sz w:val="17"/>
          <w:szCs w:val="17"/>
          <w:color w:val="auto"/>
        </w:rPr>
        <w:t>Income tax expense was $1.4 million for the first quarter of 2026 attributable to taxable income in certain Chinese entities. Income tax expense was nil for the first quarter of 2025 as the Company’s subsidiaries were in cumulative loss positions.</w:t>
      </w:r>
    </w:p>
    <w:p>
      <w:pPr>
        <w:sectPr>
          <w:pgSz w:w="11900" w:h="16838" w:orient="portrait"/>
          <w:cols w:equalWidth="0" w:num="1">
            <w:col w:w="11240"/>
          </w:cols>
          <w:pgMar w:left="320" w:top="563"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color w:val="auto"/>
        </w:rPr>
        <w:t>Zai Lab Limited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Loss Per Share</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presents the computation of the basic and diluted net loss per share ($ in thousands, except share and per share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640" w:type="dxa"/>
            <w:vAlign w:val="bottom"/>
          </w:tcPr>
          <w:p>
            <w:pPr>
              <w:spacing w:after="0"/>
              <w:rPr>
                <w:sz w:val="18"/>
                <w:szCs w:val="18"/>
                <w:color w:val="auto"/>
              </w:rPr>
            </w:pPr>
          </w:p>
        </w:tc>
        <w:tc>
          <w:tcPr>
            <w:tcW w:w="4600" w:type="dxa"/>
            <w:vAlign w:val="bottom"/>
            <w:tcBorders>
              <w:bottom w:val="single" w:sz="8" w:color="auto"/>
            </w:tcBorders>
            <w:gridSpan w:val="3"/>
          </w:tcPr>
          <w:p>
            <w:pPr>
              <w:jc w:val="right"/>
              <w:ind w:right="1135"/>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2"/>
        </w:trPr>
        <w:tc>
          <w:tcPr>
            <w:tcW w:w="6640" w:type="dxa"/>
            <w:vAlign w:val="bottom"/>
          </w:tcPr>
          <w:p>
            <w:pPr>
              <w:spacing w:after="0"/>
              <w:rPr>
                <w:sz w:val="17"/>
                <w:szCs w:val="17"/>
                <w:color w:val="auto"/>
              </w:rPr>
            </w:pPr>
          </w:p>
        </w:tc>
        <w:tc>
          <w:tcPr>
            <w:tcW w:w="2260" w:type="dxa"/>
            <w:vAlign w:val="bottom"/>
          </w:tcPr>
          <w:p>
            <w:pPr>
              <w:jc w:val="right"/>
              <w:ind w:right="896"/>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7"/>
                <w:szCs w:val="17"/>
                <w:color w:val="auto"/>
              </w:rPr>
            </w:pPr>
          </w:p>
        </w:tc>
        <w:tc>
          <w:tcPr>
            <w:tcW w:w="2260" w:type="dxa"/>
            <w:vAlign w:val="bottom"/>
          </w:tcPr>
          <w:p>
            <w:pPr>
              <w:jc w:val="right"/>
              <w:ind w:right="895"/>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0"/>
        </w:trPr>
        <w:tc>
          <w:tcPr>
            <w:tcW w:w="664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28"/>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2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r>
      <w:tr>
        <w:trPr>
          <w:trHeight w:val="242"/>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(51,016)</w:t>
            </w:r>
          </w:p>
        </w:tc>
        <w:tc>
          <w:tcPr>
            <w:tcW w:w="8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(48,438)</w:t>
            </w:r>
          </w:p>
        </w:tc>
      </w:tr>
      <w:tr>
        <w:trPr>
          <w:trHeight w:val="25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22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60" w:type="dxa"/>
            <w:vAlign w:val="bottom"/>
            <w:shd w:val="clear" w:color="auto" w:fill="CCEEFF"/>
          </w:tcPr>
          <w:p>
            <w:pPr>
              <w:spacing w:after="0"/>
              <w:rPr>
                <w:sz w:val="22"/>
                <w:szCs w:val="22"/>
                <w:color w:val="auto"/>
              </w:rPr>
            </w:pPr>
          </w:p>
        </w:tc>
      </w:tr>
      <w:tr>
        <w:trPr>
          <w:trHeight w:val="242"/>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Weighted-average number of ordinary shares - basic and diluted</w:t>
            </w: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1,107,390,590</w:t>
            </w:r>
          </w:p>
        </w:tc>
        <w:tc>
          <w:tcPr>
            <w:tcW w:w="80" w:type="dxa"/>
            <w:vAlign w:val="bottom"/>
            <w:tcBorders>
              <w:bottom w:val="single" w:sz="8" w:color="CCEEFF"/>
            </w:tcBorders>
          </w:tcPr>
          <w:p>
            <w:pPr>
              <w:spacing w:after="0"/>
              <w:rPr>
                <w:sz w:val="21"/>
                <w:szCs w:val="21"/>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1,080,825,300</w:t>
            </w:r>
          </w:p>
        </w:tc>
      </w:tr>
      <w:tr>
        <w:trPr>
          <w:trHeight w:val="266"/>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share - basic and diluted</w:t>
            </w: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(0.05)</w:t>
            </w:r>
          </w:p>
        </w:tc>
        <w:tc>
          <w:tcPr>
            <w:tcW w:w="80" w:type="dxa"/>
            <w:vAlign w:val="bottom"/>
            <w:tcBorders>
              <w:bottom w:val="single" w:sz="8" w:color="CCEEFF"/>
            </w:tcBorders>
            <w:shd w:val="clear" w:color="auto" w:fill="CCEEFF"/>
          </w:tcPr>
          <w:p>
            <w:pPr>
              <w:spacing w:after="0"/>
              <w:rPr>
                <w:sz w:val="22"/>
                <w:szCs w:val="22"/>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ind w:right="280" w:firstLine="470"/>
        <w:spacing w:after="0" w:line="314" w:lineRule="auto"/>
        <w:rPr>
          <w:sz w:val="20"/>
          <w:szCs w:val="20"/>
          <w:color w:val="auto"/>
        </w:rPr>
      </w:pPr>
      <w:r>
        <w:rPr>
          <w:rFonts w:ascii="Times New Roman" w:cs="Times New Roman" w:eastAsia="Times New Roman" w:hAnsi="Times New Roman"/>
          <w:sz w:val="17"/>
          <w:szCs w:val="17"/>
          <w:color w:val="auto"/>
        </w:rPr>
        <w:t>As a result of the Company’s net loss in the first quarter of 2026 and 2025, share options and non-vested restricted shares outstanding in the respective periods were excluded from the calculation of diluted loss per share as their inclusion would have been anti-dilutive.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00" w:type="dxa"/>
            <w:vAlign w:val="bottom"/>
          </w:tcPr>
          <w:p>
            <w:pPr>
              <w:spacing w:after="0"/>
              <w:rPr>
                <w:sz w:val="18"/>
                <w:szCs w:val="18"/>
                <w:color w:val="auto"/>
              </w:rPr>
            </w:pPr>
          </w:p>
        </w:tc>
        <w:tc>
          <w:tcPr>
            <w:tcW w:w="2000" w:type="dxa"/>
            <w:vAlign w:val="bottom"/>
            <w:tcBorders>
              <w:bottom w:val="single" w:sz="8" w:color="auto"/>
            </w:tcBorders>
            <w:gridSpan w:val="3"/>
          </w:tcPr>
          <w:p>
            <w:pPr>
              <w:ind w:left="11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40" w:type="dxa"/>
            <w:vAlign w:val="bottom"/>
            <w:tcBorders>
              <w:bottom w:val="single" w:sz="8" w:color="auto"/>
            </w:tcBorders>
          </w:tcPr>
          <w:p>
            <w:pPr>
              <w:spacing w:after="0"/>
              <w:rPr>
                <w:sz w:val="18"/>
                <w:szCs w:val="18"/>
                <w:color w:val="auto"/>
              </w:rPr>
            </w:pPr>
          </w:p>
        </w:tc>
      </w:tr>
      <w:tr>
        <w:trPr>
          <w:trHeight w:val="202"/>
        </w:trPr>
        <w:tc>
          <w:tcPr>
            <w:tcW w:w="8200" w:type="dxa"/>
            <w:vAlign w:val="bottom"/>
          </w:tcPr>
          <w:p>
            <w:pPr>
              <w:spacing w:after="0"/>
              <w:rPr>
                <w:sz w:val="17"/>
                <w:szCs w:val="17"/>
                <w:color w:val="auto"/>
              </w:rPr>
            </w:pPr>
          </w:p>
        </w:tc>
        <w:tc>
          <w:tcPr>
            <w:tcW w:w="1480" w:type="dxa"/>
            <w:vAlign w:val="bottom"/>
          </w:tcPr>
          <w:p>
            <w:pPr>
              <w:jc w:val="right"/>
              <w:ind w:right="497"/>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0"/>
        </w:trPr>
        <w:tc>
          <w:tcPr>
            <w:tcW w:w="8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1"/>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 options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81,326,250</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98,164,510</w:t>
            </w:r>
          </w:p>
        </w:tc>
      </w:tr>
      <w:tr>
        <w:trPr>
          <w:trHeight w:val="235"/>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Non-vested restricted shares</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26,423,180</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32,537,760</w:t>
            </w: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Borrowings</w:t>
      </w:r>
    </w:p>
    <w:p>
      <w:pPr>
        <w:spacing w:after="0" w:line="186" w:lineRule="exact"/>
        <w:rPr>
          <w:sz w:val="20"/>
          <w:szCs w:val="20"/>
          <w:color w:val="auto"/>
        </w:rPr>
      </w:pPr>
    </w:p>
    <w:p>
      <w:pPr>
        <w:ind w:right="80" w:firstLine="470"/>
        <w:spacing w:after="0" w:line="314" w:lineRule="auto"/>
        <w:rPr>
          <w:sz w:val="20"/>
          <w:szCs w:val="20"/>
          <w:color w:val="auto"/>
        </w:rPr>
      </w:pPr>
      <w:r>
        <w:rPr>
          <w:rFonts w:ascii="Times New Roman" w:cs="Times New Roman" w:eastAsia="Times New Roman" w:hAnsi="Times New Roman"/>
          <w:sz w:val="17"/>
          <w:szCs w:val="17"/>
          <w:color w:val="auto"/>
        </w:rPr>
        <w:t>The Company has debt arrangements with the Bank of China, SPD Bank, CMB, BOCOM, Ningbo Bank, and CIB to support its working capital needs in mainland China. The following table presents the Company’s short-term debt and weighted-average interest rate per annum ($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00" w:type="dxa"/>
            <w:vAlign w:val="bottom"/>
            <w:tcBorders>
              <w:bottom w:val="single" w:sz="8" w:color="CCEEFF"/>
            </w:tcBorders>
          </w:tcPr>
          <w:p>
            <w:pPr>
              <w:spacing w:after="0"/>
              <w:rPr>
                <w:sz w:val="18"/>
                <w:szCs w:val="18"/>
                <w:color w:val="auto"/>
              </w:rPr>
            </w:pPr>
          </w:p>
        </w:tc>
        <w:tc>
          <w:tcPr>
            <w:tcW w:w="2200" w:type="dxa"/>
            <w:vAlign w:val="bottom"/>
            <w:tcBorders>
              <w:bottom w:val="single" w:sz="8" w:color="auto"/>
            </w:tcBorders>
            <w:gridSpan w:val="2"/>
          </w:tcPr>
          <w:p>
            <w:pPr>
              <w:ind w:left="100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60" w:type="dxa"/>
            <w:vAlign w:val="bottom"/>
            <w:tcBorders>
              <w:bottom w:val="single" w:sz="8" w:color="auto"/>
            </w:tcBorders>
            <w:gridSpan w:val="2"/>
          </w:tcPr>
          <w:p>
            <w:pPr>
              <w:ind w:left="8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760" w:type="dxa"/>
            <w:vAlign w:val="bottom"/>
            <w:tcBorders>
              <w:bottom w:val="single" w:sz="8" w:color="auto"/>
            </w:tcBorders>
          </w:tcPr>
          <w:p>
            <w:pPr>
              <w:spacing w:after="0"/>
              <w:rPr>
                <w:sz w:val="18"/>
                <w:szCs w:val="18"/>
                <w:color w:val="auto"/>
              </w:rPr>
            </w:pPr>
          </w:p>
        </w:tc>
      </w:tr>
      <w:tr>
        <w:trPr>
          <w:trHeight w:val="284"/>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Bank of China Working Capital Loans</w:t>
            </w:r>
          </w:p>
        </w:tc>
        <w:tc>
          <w:tcPr>
            <w:tcW w:w="16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2.20 %</w:t>
            </w:r>
          </w:p>
        </w:tc>
        <w:tc>
          <w:tcPr>
            <w:tcW w:w="5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69,298</w:t>
            </w:r>
          </w:p>
        </w:tc>
        <w:tc>
          <w:tcPr>
            <w:tcW w:w="17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2.36 %</w:t>
            </w:r>
          </w:p>
        </w:tc>
        <w:tc>
          <w:tcPr>
            <w:tcW w:w="6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69,427</w:t>
            </w:r>
          </w:p>
        </w:tc>
      </w:tr>
      <w:tr>
        <w:trPr>
          <w:trHeight w:val="294"/>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SPD Bank Working Capital Loans</w:t>
            </w:r>
          </w:p>
        </w:tc>
        <w:tc>
          <w:tcPr>
            <w:tcW w:w="162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2.50 %</w:t>
            </w:r>
          </w:p>
        </w:tc>
        <w:tc>
          <w:tcPr>
            <w:tcW w:w="5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14,452</w:t>
            </w:r>
          </w:p>
        </w:tc>
        <w:tc>
          <w:tcPr>
            <w:tcW w:w="172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2.80 %</w:t>
            </w:r>
          </w:p>
        </w:tc>
        <w:tc>
          <w:tcPr>
            <w:tcW w:w="6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28,454</w:t>
            </w:r>
          </w:p>
        </w:tc>
      </w:tr>
      <w:tr>
        <w:trPr>
          <w:trHeight w:val="30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China Merchants Bank Working Capital Loans</w:t>
            </w:r>
          </w:p>
        </w:tc>
        <w:tc>
          <w:tcPr>
            <w:tcW w:w="16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2.64 %</w:t>
            </w:r>
          </w:p>
        </w:tc>
        <w:tc>
          <w:tcPr>
            <w:tcW w:w="5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57,809</w:t>
            </w:r>
          </w:p>
        </w:tc>
        <w:tc>
          <w:tcPr>
            <w:tcW w:w="17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2.65 %</w:t>
            </w:r>
          </w:p>
        </w:tc>
        <w:tc>
          <w:tcPr>
            <w:tcW w:w="6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42,683</w:t>
            </w:r>
          </w:p>
        </w:tc>
      </w:tr>
      <w:tr>
        <w:trPr>
          <w:trHeight w:val="294"/>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Bank of Communications Working Capital Loans</w:t>
            </w:r>
          </w:p>
        </w:tc>
        <w:tc>
          <w:tcPr>
            <w:tcW w:w="162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2.50 %</w:t>
            </w:r>
          </w:p>
        </w:tc>
        <w:tc>
          <w:tcPr>
            <w:tcW w:w="5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43,356</w:t>
            </w:r>
          </w:p>
        </w:tc>
        <w:tc>
          <w:tcPr>
            <w:tcW w:w="172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2.75 %</w:t>
            </w:r>
          </w:p>
        </w:tc>
        <w:tc>
          <w:tcPr>
            <w:tcW w:w="6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42,682</w:t>
            </w:r>
          </w:p>
        </w:tc>
      </w:tr>
      <w:tr>
        <w:trPr>
          <w:trHeight w:val="30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Ningbo Bank Discounted Bills</w:t>
            </w:r>
          </w:p>
        </w:tc>
        <w:tc>
          <w:tcPr>
            <w:tcW w:w="16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1.60 %</w:t>
            </w:r>
          </w:p>
        </w:tc>
        <w:tc>
          <w:tcPr>
            <w:tcW w:w="5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1.60 %</w:t>
            </w:r>
          </w:p>
        </w:tc>
        <w:tc>
          <w:tcPr>
            <w:tcW w:w="6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7,057</w:t>
            </w:r>
          </w:p>
        </w:tc>
      </w:tr>
      <w:tr>
        <w:trPr>
          <w:trHeight w:val="294"/>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Industrial Bank Working Capital Loans</w:t>
            </w:r>
          </w:p>
        </w:tc>
        <w:tc>
          <w:tcPr>
            <w:tcW w:w="1620" w:type="dxa"/>
            <w:vAlign w:val="bottom"/>
            <w:tcBorders>
              <w:bottom w:val="single" w:sz="8" w:color="CCEEFF"/>
            </w:tcBorders>
          </w:tcPr>
          <w:p>
            <w:pPr>
              <w:ind w:left="1020"/>
              <w:spacing w:after="0"/>
              <w:rPr>
                <w:sz w:val="20"/>
                <w:szCs w:val="20"/>
                <w:color w:val="auto"/>
              </w:rPr>
            </w:pPr>
            <w:r>
              <w:rPr>
                <w:rFonts w:ascii="Times New Roman" w:cs="Times New Roman" w:eastAsia="Times New Roman" w:hAnsi="Times New Roman"/>
                <w:sz w:val="17"/>
                <w:szCs w:val="17"/>
                <w:color w:val="auto"/>
              </w:rPr>
              <w:t>2.55 %</w:t>
            </w:r>
          </w:p>
        </w:tc>
        <w:tc>
          <w:tcPr>
            <w:tcW w:w="5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28,904</w:t>
            </w:r>
          </w:p>
        </w:tc>
        <w:tc>
          <w:tcPr>
            <w:tcW w:w="1720" w:type="dxa"/>
            <w:vAlign w:val="bottom"/>
            <w:tcBorders>
              <w:bottom w:val="single" w:sz="8" w:color="CCEEFF"/>
            </w:tcBorders>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2.60 %</w:t>
            </w:r>
          </w:p>
        </w:tc>
        <w:tc>
          <w:tcPr>
            <w:tcW w:w="6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14,227</w:t>
            </w:r>
          </w:p>
        </w:tc>
      </w:tr>
      <w:tr>
        <w:trPr>
          <w:trHeight w:val="286"/>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short-term debt</w:t>
            </w:r>
          </w:p>
        </w:tc>
        <w:tc>
          <w:tcPr>
            <w:tcW w:w="162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2.45 %</w:t>
            </w:r>
          </w:p>
        </w:tc>
        <w:tc>
          <w:tcPr>
            <w:tcW w:w="58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213,819</w:t>
            </w:r>
          </w:p>
        </w:tc>
        <w:tc>
          <w:tcPr>
            <w:tcW w:w="172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2.55 %</w:t>
            </w:r>
          </w:p>
        </w:tc>
        <w:tc>
          <w:tcPr>
            <w:tcW w:w="6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204,530</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Bank of China Working Capital Loan Facility</w:t>
      </w:r>
    </w:p>
    <w:p>
      <w:pPr>
        <w:spacing w:after="0" w:line="201" w:lineRule="exact"/>
        <w:rPr>
          <w:sz w:val="20"/>
          <w:szCs w:val="20"/>
          <w:color w:val="auto"/>
        </w:rPr>
      </w:pPr>
    </w:p>
    <w:p>
      <w:pPr>
        <w:ind w:right="60" w:firstLine="470"/>
        <w:spacing w:after="0" w:line="306" w:lineRule="auto"/>
        <w:rPr>
          <w:sz w:val="20"/>
          <w:szCs w:val="20"/>
          <w:color w:val="auto"/>
        </w:rPr>
      </w:pPr>
      <w:r>
        <w:rPr>
          <w:rFonts w:ascii="Times New Roman" w:cs="Times New Roman" w:eastAsia="Times New Roman" w:hAnsi="Times New Roman"/>
          <w:sz w:val="17"/>
          <w:szCs w:val="17"/>
          <w:color w:val="auto"/>
        </w:rPr>
        <w:t>The Company has an uncommitted facility letter with the Bank of China (Hong Kong) Limited (“BOC HK”) pursuant to which BOC HK will provide standby letters of credit in favor of the Bank of China Pudong Development Zone Branch (“BOC Pudong Branch”) for loans of up to $100.0 million, which are or may become payable by the Company’s wholly-owned subsidiary, Zai Lab (Shanghai) Co., Ltd. (“Zai Lab Shanghai”). BOC HK and BOC Pudong Branch are collectively referred to as Bank of China. In accordance with this agreement, the Company also maintained restricted deposits of $100.0 million, which are presented as restricted cash-current on the unaudited condensed consolidated balance sheet, to secure the standby letters of credit. Each working capital loan has a one-year term and is subject to a floating interest rate, which is subject to adjustment every six months.</w:t>
      </w:r>
    </w:p>
    <w:p>
      <w:pPr>
        <w:spacing w:after="0" w:line="200" w:lineRule="exact"/>
        <w:rPr>
          <w:sz w:val="20"/>
          <w:szCs w:val="20"/>
          <w:color w:val="auto"/>
        </w:rPr>
      </w:pPr>
    </w:p>
    <w:p>
      <w:pPr>
        <w:spacing w:after="0" w:line="33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color w:val="auto"/>
        </w:rPr>
        <w:t>Zai Lab Limited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SPD Bank Working Capital Loan Facility</w:t>
      </w:r>
    </w:p>
    <w:p>
      <w:pPr>
        <w:spacing w:after="0" w:line="214" w:lineRule="exact"/>
        <w:rPr>
          <w:sz w:val="20"/>
          <w:szCs w:val="20"/>
          <w:color w:val="auto"/>
        </w:rPr>
      </w:pPr>
    </w:p>
    <w:p>
      <w:pPr>
        <w:ind w:right="120" w:firstLine="470"/>
        <w:spacing w:after="0" w:line="315" w:lineRule="auto"/>
        <w:rPr>
          <w:sz w:val="20"/>
          <w:szCs w:val="20"/>
          <w:color w:val="auto"/>
        </w:rPr>
      </w:pPr>
      <w:r>
        <w:rPr>
          <w:rFonts w:ascii="Times New Roman" w:cs="Times New Roman" w:eastAsia="Times New Roman" w:hAnsi="Times New Roman"/>
          <w:sz w:val="17"/>
          <w:szCs w:val="17"/>
          <w:color w:val="auto"/>
        </w:rPr>
        <w:t>In February 2024, the Company entered into a maximum-amount guarantee contract with the Shanghai Pudong Development Bank Co., Ltd. Zhangjiang Hi-Tech Park Sub-Branch (“SPD Bank”) pursuant to which the Company will guarantee working capital loans of up to RMB300.0 million (approximately $42.0 million) from SPD Bank to Zai Lab Shanghai over a three-year period. Each working capital loan has a one-year term and is subject to a fixed interest rate.</w:t>
      </w:r>
    </w:p>
    <w:p>
      <w:pPr>
        <w:spacing w:after="0" w:line="3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China Merchants Bank Working Capital Loan Facility</w:t>
      </w:r>
    </w:p>
    <w:p>
      <w:pPr>
        <w:spacing w:after="0" w:line="201" w:lineRule="exact"/>
        <w:rPr>
          <w:sz w:val="20"/>
          <w:szCs w:val="20"/>
          <w:color w:val="auto"/>
        </w:rPr>
      </w:pPr>
    </w:p>
    <w:p>
      <w:pPr>
        <w:ind w:right="20" w:firstLine="470"/>
        <w:spacing w:after="0" w:line="306" w:lineRule="auto"/>
        <w:rPr>
          <w:sz w:val="20"/>
          <w:szCs w:val="20"/>
          <w:color w:val="auto"/>
        </w:rPr>
      </w:pPr>
      <w:r>
        <w:rPr>
          <w:rFonts w:ascii="Times New Roman" w:cs="Times New Roman" w:eastAsia="Times New Roman" w:hAnsi="Times New Roman"/>
          <w:sz w:val="17"/>
          <w:szCs w:val="17"/>
          <w:color w:val="auto"/>
        </w:rPr>
        <w:t>In August 2025, the Company issued a maximum-amount irrevocable letter of guarantee to China Merchants Bank Co., Ltd., Shanghai Branch (“CMB”) pursuant to which the Company will guarantee working capital loans of up to RMB500.0 million (approximately $69.6 million) from CMB to Zai Lab Shanghai, and Zai Lab Shanghai entered into a Credit Agreement with CMB with respect to the RMB500.0 million facility. The guarantee and credit facility include the outstanding working capital loans with CMB. The credit facility will be available for two years. Each working capital loan has a one-year term and is subject to a floating interest rate, which is subject to adjustment every three months.</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Bank of Communications Working Capital Loan Facility</w:t>
      </w:r>
    </w:p>
    <w:p>
      <w:pPr>
        <w:spacing w:after="0" w:line="201" w:lineRule="exact"/>
        <w:rPr>
          <w:sz w:val="20"/>
          <w:szCs w:val="20"/>
          <w:color w:val="auto"/>
        </w:rPr>
      </w:pPr>
    </w:p>
    <w:p>
      <w:pPr>
        <w:jc w:val="both"/>
        <w:ind w:firstLine="470"/>
        <w:spacing w:after="0" w:line="303" w:lineRule="auto"/>
        <w:rPr>
          <w:sz w:val="20"/>
          <w:szCs w:val="20"/>
          <w:color w:val="auto"/>
        </w:rPr>
      </w:pPr>
      <w:r>
        <w:rPr>
          <w:rFonts w:ascii="Times New Roman" w:cs="Times New Roman" w:eastAsia="Times New Roman" w:hAnsi="Times New Roman"/>
          <w:sz w:val="17"/>
          <w:szCs w:val="17"/>
          <w:color w:val="auto"/>
        </w:rPr>
        <w:t>In January 2025, the Company entered into a guarantee contract with Bank of Communications Co., Ltd. Shanghai Zhangjiang Sub-Branch (“BOCOM”) pursuant to which the Company will guarantee working capital loans from BOCOM to Zai Lab Shanghai, and Zai Lab Shanghai entered into a working capital loan contract with BOCOM with respect to a revolving credit facility of up to RMB300.0 million (approximately $41.1 million). The credit facility expired in September 2025. In February 2026, the Company entered into a new revolving credit facility with BOCOM that will expire in March 2027, which replaced its previous RMB300.0 million (approximately $41.1 million) credit facility. The Company entered into a new guarantee contract with BOCOM pursuant to which the Company will provide a maximum-amount guarantee of RMB330.0 million (approximately $47.9 million) for working capital loans of up to RMB300.0 million (approximately $43.6 million) from BOCOM to Zai Lab Shanghai, and Zai Lab Shanghai entered into a working capital loan contract with BOCOM with respect to the RMB300.0 million facility. The new credit facility will be available until February 2, 2029. Each working capital loan has a one-year term and is subject to a floating interest rate, which is subject to adjustment every three months.</w:t>
      </w:r>
    </w:p>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Ningbo Bank Working Capital Loan Facility</w:t>
      </w:r>
    </w:p>
    <w:p>
      <w:pPr>
        <w:spacing w:after="0" w:line="214" w:lineRule="exact"/>
        <w:rPr>
          <w:sz w:val="20"/>
          <w:szCs w:val="20"/>
          <w:color w:val="auto"/>
        </w:rPr>
      </w:pPr>
    </w:p>
    <w:p>
      <w:pPr>
        <w:ind w:firstLine="470"/>
        <w:spacing w:after="0" w:line="303" w:lineRule="auto"/>
        <w:rPr>
          <w:sz w:val="20"/>
          <w:szCs w:val="20"/>
          <w:color w:val="auto"/>
        </w:rPr>
      </w:pPr>
      <w:r>
        <w:rPr>
          <w:rFonts w:ascii="Times New Roman" w:cs="Times New Roman" w:eastAsia="Times New Roman" w:hAnsi="Times New Roman"/>
          <w:sz w:val="17"/>
          <w:szCs w:val="17"/>
          <w:color w:val="auto"/>
        </w:rPr>
        <w:t>In February 2024, the Company’s wholly-owned subsidiary, Zai Lab (Suzhou) Co., Ltd. (“Zai Lab Suzhou”), entered into a maximum credit contract with Bank of Ningbo Co., Ltd. Suzhou Sub-branch (“Ningbo Bank”) as well as an Electronic Commercial Draft Discounting Master Agreement and Online Working Capital Loan Master Agreement (collectively, the “Ningbo Bank Agreements”). The Ningbo Bank Agreements permit Zai Lab Suzhou to utilize, including through discounting or working capital loan agreements and subject to the terms and conditions in related master agreements, up to RMB230.3 million (approximately $32.4 million), of which Zai Lab Suzhou is authorized to utilize up to RMB160.0 million (approximately $22.5 million). The cash proceeds from the discounting arrangement were classified as short-term debt. Each discounted bill has a 6-month term.</w:t>
      </w:r>
    </w:p>
    <w:p>
      <w:pPr>
        <w:spacing w:after="0" w:line="1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Industrial Bank Working Capital Loans</w:t>
      </w:r>
    </w:p>
    <w:p>
      <w:pPr>
        <w:spacing w:after="0" w:line="201" w:lineRule="exact"/>
        <w:rPr>
          <w:sz w:val="20"/>
          <w:szCs w:val="20"/>
          <w:color w:val="auto"/>
        </w:rPr>
      </w:pPr>
    </w:p>
    <w:p>
      <w:pPr>
        <w:jc w:val="both"/>
        <w:ind w:right="140" w:firstLine="470"/>
        <w:spacing w:after="0" w:line="312" w:lineRule="auto"/>
        <w:rPr>
          <w:sz w:val="20"/>
          <w:szCs w:val="20"/>
          <w:color w:val="auto"/>
        </w:rPr>
      </w:pPr>
      <w:r>
        <w:rPr>
          <w:rFonts w:ascii="Times New Roman" w:cs="Times New Roman" w:eastAsia="Times New Roman" w:hAnsi="Times New Roman"/>
          <w:sz w:val="17"/>
          <w:szCs w:val="17"/>
          <w:color w:val="auto"/>
        </w:rPr>
        <w:t>On October 13, 2025, the Company entered into a maximum amount guarantee contract with Industrial Bank Co., Ltd., Shanghai Gubei Branch (“CIB”) pursuant to which the Company will guarantee working capital loans of up to RMB300.0 million (approximately $42.1 million) from CIB to its wholly-owned subsidiary, Zai Lab Shanghai, and Zai Lab Shanghai entered into a credit line contract with CIB with respect to the RMB300.0 million revolving credit facility. The credit facility will be available until May 5, 2026. Each working capital loan has a one-year term and is subject to a fixed interest rate.</w:t>
      </w:r>
    </w:p>
    <w:p>
      <w:pPr>
        <w:spacing w:after="0" w:line="200" w:lineRule="exact"/>
        <w:rPr>
          <w:sz w:val="20"/>
          <w:szCs w:val="20"/>
          <w:color w:val="auto"/>
        </w:rPr>
      </w:pPr>
    </w:p>
    <w:p>
      <w:pPr>
        <w:spacing w:after="0" w:line="32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color w:val="auto"/>
        </w:rPr>
        <w:t>Zai Lab Limited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Other Current Liabilities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presents the Company’s other current liabilities ($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380" w:type="dxa"/>
            <w:vAlign w:val="bottom"/>
          </w:tcPr>
          <w:p>
            <w:pPr>
              <w:spacing w:after="0"/>
              <w:rPr>
                <w:sz w:val="18"/>
                <w:szCs w:val="18"/>
                <w:color w:val="auto"/>
              </w:rPr>
            </w:pPr>
          </w:p>
        </w:tc>
        <w:tc>
          <w:tcPr>
            <w:tcW w:w="2000" w:type="dxa"/>
            <w:vAlign w:val="bottom"/>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86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45"/>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payroll</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11,393</w:t>
            </w:r>
          </w:p>
        </w:tc>
        <w:tc>
          <w:tcPr>
            <w:tcW w:w="100" w:type="dxa"/>
            <w:vAlign w:val="bottom"/>
            <w:tcBorders>
              <w:top w:val="single" w:sz="8" w:color="CCEEFF"/>
            </w:tcBorders>
            <w:shd w:val="clear" w:color="auto" w:fill="CCEEFF"/>
          </w:tcPr>
          <w:p>
            <w:pPr>
              <w:spacing w:after="0"/>
              <w:rPr>
                <w:sz w:val="21"/>
                <w:szCs w:val="21"/>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28,485</w:t>
            </w:r>
          </w:p>
        </w:tc>
      </w:tr>
      <w:tr>
        <w:trPr>
          <w:trHeight w:val="242"/>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professional service fees</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4,421</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2,948</w:t>
            </w:r>
          </w:p>
        </w:tc>
      </w:tr>
      <w:tr>
        <w:trPr>
          <w:trHeight w:val="25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Payables for purchase of property and equipment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w:t>
            </w:r>
          </w:p>
        </w:tc>
        <w:tc>
          <w:tcPr>
            <w:tcW w:w="100" w:type="dxa"/>
            <w:vAlign w:val="bottom"/>
            <w:shd w:val="clear" w:color="auto" w:fill="CCEEFF"/>
          </w:tcPr>
          <w:p>
            <w:pPr>
              <w:spacing w:after="0"/>
              <w:rPr>
                <w:sz w:val="22"/>
                <w:szCs w:val="22"/>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w:t>
            </w:r>
          </w:p>
        </w:tc>
      </w:tr>
      <w:tr>
        <w:trPr>
          <w:trHeight w:val="242"/>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rebate to distributors</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20,417</w:t>
            </w:r>
          </w:p>
        </w:tc>
        <w:tc>
          <w:tcPr>
            <w:tcW w:w="1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19,388</w:t>
            </w:r>
          </w:p>
        </w:tc>
      </w:tr>
      <w:tr>
        <w:trPr>
          <w:trHeight w:val="25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payables</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3,664</w:t>
            </w:r>
          </w:p>
        </w:tc>
        <w:tc>
          <w:tcPr>
            <w:tcW w:w="100" w:type="dxa"/>
            <w:vAlign w:val="bottom"/>
            <w:shd w:val="clear" w:color="auto" w:fill="CCEEFF"/>
          </w:tcPr>
          <w:p>
            <w:pPr>
              <w:spacing w:after="0"/>
              <w:rPr>
                <w:sz w:val="22"/>
                <w:szCs w:val="22"/>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5,303</w:t>
            </w:r>
          </w:p>
        </w:tc>
      </w:tr>
      <w:tr>
        <w:trPr>
          <w:trHeight w:val="242"/>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6,487</w:t>
            </w:r>
          </w:p>
        </w:tc>
        <w:tc>
          <w:tcPr>
            <w:tcW w:w="100" w:type="dxa"/>
            <w:vAlign w:val="bottom"/>
            <w:tcBorders>
              <w:bottom w:val="single" w:sz="8" w:color="CCEEFF"/>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7,074</w:t>
            </w:r>
          </w:p>
        </w:tc>
      </w:tr>
      <w:tr>
        <w:trPr>
          <w:trHeight w:val="266"/>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47,011</w:t>
            </w:r>
          </w:p>
        </w:tc>
        <w:tc>
          <w:tcPr>
            <w:tcW w:w="1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63,684</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ind w:left="460" w:hanging="455"/>
        <w:spacing w:after="0"/>
        <w:tabs>
          <w:tab w:leader="none" w:pos="4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primarily includes accrued travel, business-related expenses, and advance payments from partners.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Related Party Transactions</w:t>
      </w:r>
    </w:p>
    <w:p>
      <w:pPr>
        <w:spacing w:after="0" w:line="186" w:lineRule="exact"/>
        <w:rPr>
          <w:sz w:val="20"/>
          <w:szCs w:val="20"/>
          <w:color w:val="auto"/>
        </w:rPr>
      </w:pPr>
    </w:p>
    <w:p>
      <w:pPr>
        <w:ind w:firstLine="470"/>
        <w:spacing w:after="0" w:line="303" w:lineRule="auto"/>
        <w:rPr>
          <w:sz w:val="20"/>
          <w:szCs w:val="20"/>
          <w:color w:val="auto"/>
        </w:rPr>
      </w:pPr>
      <w:r>
        <w:rPr>
          <w:rFonts w:ascii="Times New Roman" w:cs="Times New Roman" w:eastAsia="Times New Roman" w:hAnsi="Times New Roman"/>
          <w:sz w:val="17"/>
          <w:szCs w:val="17"/>
          <w:color w:val="auto"/>
        </w:rPr>
        <w:t>In January 2025, the Company entered into a license agreement with Zenas BioPharma (HK) Limited, a subsidiary of Zenas BioPharma, Inc. (“Zenas”), pursuant to which the Company obtained a license under certain patents and know-how of Zenas to develop and commercialize products containing a differentiated humanized monoclonal antibody targeting IGF-1R as an active ingredient in Greater China. One of the members of the Company’s Board of Directors, Mr. Moulder, is also the Chairman of the Board of Directors and Chief Executive Officer of Zenas. The Company recorded a $10.0 million upfront fee into research and development expenses in the first quarter of 2025. As of March 31, 2026, the Company may be required to pay an additional aggregate amount of up to $117.0 million in development and sales-based milestones as well as certain royalties at tiered percentage rates ranging from high-single digits to mid-teens on annual net sales of the licensed products in the licensed territories.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Share-Based Compensation</w:t>
      </w:r>
    </w:p>
    <w:p>
      <w:pPr>
        <w:spacing w:after="0" w:line="186" w:lineRule="exact"/>
        <w:rPr>
          <w:sz w:val="20"/>
          <w:szCs w:val="20"/>
          <w:color w:val="auto"/>
        </w:rPr>
      </w:pPr>
    </w:p>
    <w:p>
      <w:pPr>
        <w:ind w:right="180" w:firstLine="470"/>
        <w:spacing w:after="0" w:line="305" w:lineRule="auto"/>
        <w:rPr>
          <w:sz w:val="20"/>
          <w:szCs w:val="20"/>
          <w:color w:val="auto"/>
        </w:rPr>
      </w:pPr>
      <w:r>
        <w:rPr>
          <w:rFonts w:ascii="Times New Roman" w:cs="Times New Roman" w:eastAsia="Times New Roman" w:hAnsi="Times New Roman"/>
          <w:sz w:val="17"/>
          <w:szCs w:val="17"/>
          <w:color w:val="auto"/>
        </w:rPr>
        <w:t xml:space="preserve">During the first quarter of 2026, the Company granted share options to purchase up to 7,356,500 ordinary shares and restricted shares representing 2,880,030 ordinary shares under its equity incentive plans. The share options granted have a contractual term of ten years. Share options granted since April 2023 generally vest ratably over a four-year period, and share options granted prior to April 2023 generally vest ratably over a five-year period, with 25% or 20% of the awards vesting on each anniversary of the grant date, respectively, subject to continued employment/service with the Company on the vesting date. The restricted shares granted generally vest ratably over a specified period on the anniversary of the grant date, subject to continued employment/service with the Company on the vesting date. For a description of the Company’s equity incentive plans and more details on the terms of the share-based awards, see </w:t>
      </w:r>
      <w:r>
        <w:rPr>
          <w:rFonts w:ascii="Times New Roman" w:cs="Times New Roman" w:eastAsia="Times New Roman" w:hAnsi="Times New Roman"/>
          <w:sz w:val="17"/>
          <w:szCs w:val="17"/>
          <w:i w:val="1"/>
          <w:iCs w:val="1"/>
          <w:color w:val="auto"/>
        </w:rPr>
        <w:t>Note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15 </w:t>
      </w:r>
      <w:r>
        <w:rPr>
          <w:rFonts w:ascii="Times New Roman" w:cs="Times New Roman" w:eastAsia="Times New Roman" w:hAnsi="Times New Roman"/>
          <w:sz w:val="17"/>
          <w:szCs w:val="17"/>
          <w:color w:val="auto"/>
        </w:rPr>
        <w:t>in the 2025 Annual Report</w:t>
      </w:r>
      <w:r>
        <w:rPr>
          <w:rFonts w:ascii="Times New Roman" w:cs="Times New Roman" w:eastAsia="Times New Roman" w:hAnsi="Times New Roman"/>
          <w:sz w:val="17"/>
          <w:szCs w:val="17"/>
          <w:i w:val="1"/>
          <w:iCs w:val="1"/>
          <w:color w:val="auto"/>
        </w:rPr>
        <w:t>.</w:t>
      </w:r>
    </w:p>
    <w:p>
      <w:pPr>
        <w:spacing w:after="0" w:line="117" w:lineRule="exact"/>
        <w:rPr>
          <w:sz w:val="20"/>
          <w:szCs w:val="20"/>
          <w:color w:val="auto"/>
        </w:rPr>
      </w:pPr>
    </w:p>
    <w:p>
      <w:pPr>
        <w:ind w:firstLine="470"/>
        <w:spacing w:after="0" w:line="241" w:lineRule="exact"/>
        <w:rPr>
          <w:sz w:val="20"/>
          <w:szCs w:val="20"/>
          <w:color w:val="auto"/>
        </w:rPr>
      </w:pPr>
      <w:r>
        <w:rPr>
          <w:rFonts w:ascii="Times New Roman" w:cs="Times New Roman" w:eastAsia="Times New Roman" w:hAnsi="Times New Roman"/>
          <w:sz w:val="17"/>
          <w:szCs w:val="17"/>
          <w:color w:val="auto"/>
        </w:rPr>
        <w:t>During the first quarter of 2026, the Company also granted cash-settled performance-based restricted shares representing 1,169,170 ordinary shares under its equity incentive plans. These awards will vest on the third anniversary of the grant date and will be settled in cash based on value of our ordinary shares on the vesting date. These awards are accounted for as liability awards and their fair value is measured at the end of each reporting period. The related liability of an insignificant amount is recorded in other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current liabilities in the unaudited condensed consolidated balance sheet as of March 31, 2026, and the related compensation expense of an insignificant amount is recorded in stock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compensation in the unaudited condensed consolidated statements of operations in the first quarter of 2026.</w:t>
      </w:r>
    </w:p>
    <w:p>
      <w:pPr>
        <w:spacing w:after="0" w:line="200" w:lineRule="exact"/>
        <w:rPr>
          <w:sz w:val="20"/>
          <w:szCs w:val="20"/>
          <w:color w:val="auto"/>
        </w:rPr>
      </w:pPr>
    </w:p>
    <w:p>
      <w:pPr>
        <w:spacing w:after="0" w:line="38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color w:val="auto"/>
        </w:rPr>
        <w:t>Zai Lab Limited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760" w:firstLine="470"/>
        <w:spacing w:after="0" w:line="343" w:lineRule="auto"/>
        <w:rPr>
          <w:sz w:val="20"/>
          <w:szCs w:val="20"/>
          <w:color w:val="auto"/>
        </w:rPr>
      </w:pPr>
      <w:r>
        <w:rPr>
          <w:rFonts w:ascii="Times New Roman" w:cs="Times New Roman" w:eastAsia="Times New Roman" w:hAnsi="Times New Roman"/>
          <w:sz w:val="17"/>
          <w:szCs w:val="17"/>
          <w:color w:val="auto"/>
        </w:rPr>
        <w:t>The following table presents the share-based compensation expense that has been reported in the Company’s unaudited condensed consolidated statements of operations and comprehensive loss as follows ($ in thousands):</w:t>
      </w:r>
    </w:p>
    <w:p>
      <w:pPr>
        <w:spacing w:after="0" w:line="110"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2026</w:t>
            </w:r>
          </w:p>
        </w:tc>
        <w:tc>
          <w:tcPr>
            <w:tcW w:w="7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260" w:type="dxa"/>
            <w:vAlign w:val="bottom"/>
            <w:tcBorders>
              <w:top w:val="single" w:sz="8" w:color="auto"/>
              <w:bottom w:val="single" w:sz="8" w:color="auto"/>
            </w:tcBorders>
          </w:tcPr>
          <w:p>
            <w:pPr>
              <w:jc w:val="right"/>
              <w:ind w:right="895"/>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5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10,401</w:t>
            </w:r>
          </w:p>
        </w:tc>
        <w:tc>
          <w:tcPr>
            <w:tcW w:w="8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10,226</w:t>
            </w:r>
          </w:p>
        </w:tc>
      </w:tr>
      <w:tr>
        <w:trPr>
          <w:trHeight w:val="222"/>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3,163</w:t>
            </w:r>
          </w:p>
        </w:tc>
        <w:tc>
          <w:tcPr>
            <w:tcW w:w="8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5,574</w:t>
            </w:r>
          </w:p>
        </w:tc>
      </w:tr>
      <w:tr>
        <w:trPr>
          <w:trHeight w:val="240"/>
        </w:trPr>
        <w:tc>
          <w:tcPr>
            <w:tcW w:w="6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50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13,564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15,800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jc w:val="both"/>
        <w:ind w:right="20" w:firstLine="392"/>
        <w:spacing w:after="0" w:line="327" w:lineRule="auto"/>
        <w:rPr>
          <w:sz w:val="20"/>
          <w:szCs w:val="20"/>
          <w:color w:val="auto"/>
        </w:rPr>
      </w:pPr>
      <w:r>
        <w:rPr>
          <w:rFonts w:ascii="Times New Roman" w:cs="Times New Roman" w:eastAsia="Times New Roman" w:hAnsi="Times New Roman"/>
          <w:sz w:val="17"/>
          <w:szCs w:val="17"/>
          <w:color w:val="auto"/>
        </w:rPr>
        <w:t>As of March 31, 2026, there was unrecognized share-based compensation expense related to unvested share options and unvested restricted shares of $46.8 million and $48.3 million, respectively, which the Company expects to recognize over a weighted-average period of 2.21 years and 2.07 years, respectively.</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License and Collaboration Agreements</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Company has entered into various license and collaboration agreements with third parties to develop and commercialize product candidates.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Significant License and Collaboration Arrangements</w:t>
      </w:r>
    </w:p>
    <w:p>
      <w:pPr>
        <w:spacing w:after="0" w:line="208" w:lineRule="exact"/>
        <w:rPr>
          <w:sz w:val="20"/>
          <w:szCs w:val="20"/>
          <w:color w:val="auto"/>
        </w:rPr>
      </w:pPr>
    </w:p>
    <w:p>
      <w:pPr>
        <w:jc w:val="both"/>
        <w:ind w:right="100" w:firstLine="470"/>
        <w:spacing w:after="0" w:line="317" w:lineRule="auto"/>
        <w:rPr>
          <w:sz w:val="20"/>
          <w:szCs w:val="20"/>
          <w:color w:val="auto"/>
        </w:rPr>
      </w:pPr>
      <w:r>
        <w:rPr>
          <w:rFonts w:ascii="Times New Roman" w:cs="Times New Roman" w:eastAsia="Times New Roman" w:hAnsi="Times New Roman"/>
          <w:sz w:val="17"/>
          <w:szCs w:val="17"/>
          <w:color w:val="auto"/>
        </w:rPr>
        <w:t xml:space="preserve">For a description of the material terms of the Company’s significant license and collaboration agreements, see </w:t>
      </w:r>
      <w:r>
        <w:rPr>
          <w:rFonts w:ascii="Times New Roman" w:cs="Times New Roman" w:eastAsia="Times New Roman" w:hAnsi="Times New Roman"/>
          <w:sz w:val="17"/>
          <w:szCs w:val="17"/>
          <w:i w:val="1"/>
          <w:iCs w:val="1"/>
          <w:color w:val="auto"/>
        </w:rPr>
        <w:t>Note 16</w:t>
      </w:r>
      <w:r>
        <w:rPr>
          <w:rFonts w:ascii="Times New Roman" w:cs="Times New Roman" w:eastAsia="Times New Roman" w:hAnsi="Times New Roman"/>
          <w:sz w:val="17"/>
          <w:szCs w:val="17"/>
          <w:color w:val="auto"/>
        </w:rPr>
        <w:t xml:space="preserve"> in the 2025 Annual Report. In the first quarter of 2026, the Company did not enter into any new significant license or collaboration agreements. The following includes a description of milestone fees incurred in the first quarter of 2026 under the Company’s significant license and collaboration agreements.</w:t>
      </w:r>
    </w:p>
    <w:p>
      <w:pPr>
        <w:spacing w:after="0" w:line="1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License and Collaboration Agreement with MediLink Therapeutics (DLL3-Targeting ADC)</w:t>
      </w:r>
    </w:p>
    <w:p>
      <w:pPr>
        <w:spacing w:after="0" w:line="212" w:lineRule="exact"/>
        <w:rPr>
          <w:sz w:val="20"/>
          <w:szCs w:val="20"/>
          <w:color w:val="auto"/>
        </w:rPr>
      </w:pPr>
    </w:p>
    <w:p>
      <w:pPr>
        <w:ind w:right="20" w:firstLine="470"/>
        <w:spacing w:after="0" w:line="312" w:lineRule="auto"/>
        <w:rPr>
          <w:sz w:val="20"/>
          <w:szCs w:val="20"/>
          <w:color w:val="auto"/>
        </w:rPr>
      </w:pPr>
      <w:r>
        <w:rPr>
          <w:rFonts w:ascii="Times New Roman" w:cs="Times New Roman" w:eastAsia="Times New Roman" w:hAnsi="Times New Roman"/>
          <w:sz w:val="17"/>
          <w:szCs w:val="17"/>
          <w:color w:val="auto"/>
        </w:rPr>
        <w:t>Under the terms of the Company’s license and collaboration agreement with MediLink, the Company recorded a $8.0 million development milestone fee into research and development expenses in the first quarter of 2026. As of March 31, 2026, the Company may be required to pay an additional aggregate amount of up to $584.0 million in development, regulatory, and sales-based milestones as well as certain royalties at tiered percentage rates ranging from high single digits to low-teens on annual net sales of the licensed products in the licensed territory.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Other License and Collaboration Arrangements That Are Not Individually Significant</w:t>
      </w:r>
    </w:p>
    <w:p>
      <w:pPr>
        <w:spacing w:after="0" w:line="184" w:lineRule="exact"/>
        <w:rPr>
          <w:sz w:val="20"/>
          <w:szCs w:val="20"/>
          <w:color w:val="auto"/>
        </w:rPr>
      </w:pPr>
    </w:p>
    <w:p>
      <w:pPr>
        <w:ind w:right="260" w:firstLine="470"/>
        <w:spacing w:after="0" w:line="343" w:lineRule="auto"/>
        <w:rPr>
          <w:sz w:val="20"/>
          <w:szCs w:val="20"/>
          <w:color w:val="auto"/>
        </w:rPr>
      </w:pPr>
      <w:r>
        <w:rPr>
          <w:rFonts w:ascii="Times New Roman" w:cs="Times New Roman" w:eastAsia="Times New Roman" w:hAnsi="Times New Roman"/>
          <w:sz w:val="17"/>
          <w:szCs w:val="17"/>
          <w:color w:val="auto"/>
        </w:rPr>
        <w:t>The Company recorded upfront and milestone fees of $14.0 million into research and development expenses in the first quarter of 2026 for license and collaboration agreements that are not individually significant.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Other Income (Expense), Net</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presents the Company’s other income, net ($ in thousands):</w:t>
      </w:r>
    </w:p>
    <w:p>
      <w:pPr>
        <w:spacing w:after="0" w:line="212"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Borders>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242"/>
              <w:spacing w:after="0"/>
              <w:rPr>
                <w:sz w:val="20"/>
                <w:szCs w:val="20"/>
                <w:color w:val="auto"/>
              </w:rPr>
            </w:pPr>
            <w:r>
              <w:rPr>
                <w:rFonts w:ascii="Times New Roman" w:cs="Times New Roman" w:eastAsia="Times New Roman" w:hAnsi="Times New Roman"/>
                <w:sz w:val="16"/>
                <w:szCs w:val="16"/>
                <w:b w:val="1"/>
                <w:bCs w:val="1"/>
                <w:color w:val="auto"/>
              </w:rPr>
              <w:t>2026</w:t>
            </w:r>
          </w:p>
        </w:tc>
        <w:tc>
          <w:tcPr>
            <w:tcW w:w="6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260" w:type="dxa"/>
            <w:vAlign w:val="bottom"/>
            <w:tcBorders>
              <w:top w:val="single" w:sz="8" w:color="auto"/>
              <w:bottom w:val="single" w:sz="8" w:color="auto"/>
            </w:tcBorders>
          </w:tcPr>
          <w:p>
            <w:pPr>
              <w:jc w:val="right"/>
              <w:ind w:right="8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Government grants</w:t>
            </w:r>
          </w:p>
        </w:tc>
        <w:tc>
          <w:tcPr>
            <w:tcW w:w="16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8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22"/>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Loss on equity investments with readily determinable fair value</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(1,912)</w:t>
            </w:r>
          </w:p>
        </w:tc>
        <w:tc>
          <w:tcPr>
            <w:tcW w:w="0" w:type="dxa"/>
            <w:vAlign w:val="bottom"/>
          </w:tcPr>
          <w:p>
            <w:pPr>
              <w:spacing w:after="0"/>
              <w:rPr>
                <w:sz w:val="1"/>
                <w:szCs w:val="1"/>
                <w:color w:val="auto"/>
              </w:rPr>
            </w:pPr>
          </w:p>
        </w:tc>
      </w:tr>
      <w:tr>
        <w:trPr>
          <w:trHeight w:val="22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miscellaneous gain</w:t>
            </w:r>
          </w:p>
        </w:tc>
        <w:tc>
          <w:tcPr>
            <w:tcW w:w="16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80" w:type="dxa"/>
            <w:vAlign w:val="bottom"/>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1,699</w:t>
            </w:r>
          </w:p>
        </w:tc>
        <w:tc>
          <w:tcPr>
            <w:tcW w:w="0" w:type="dxa"/>
            <w:vAlign w:val="bottom"/>
          </w:tcPr>
          <w:p>
            <w:pPr>
              <w:spacing w:after="0"/>
              <w:rPr>
                <w:sz w:val="1"/>
                <w:szCs w:val="1"/>
                <w:color w:val="auto"/>
              </w:rPr>
            </w:pPr>
          </w:p>
        </w:tc>
      </w:tr>
      <w:tr>
        <w:trPr>
          <w:trHeight w:val="215"/>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8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5780"/>
              <w:spacing w:after="0"/>
              <w:rPr>
                <w:sz w:val="20"/>
                <w:szCs w:val="20"/>
                <w:color w:val="auto"/>
              </w:rPr>
            </w:pPr>
            <w:r>
              <w:rPr>
                <w:rFonts w:ascii="Times New Roman" w:cs="Times New Roman" w:eastAsia="Times New Roman" w:hAnsi="Times New Roman"/>
                <w:sz w:val="17"/>
                <w:szCs w:val="17"/>
                <w:color w:val="auto"/>
              </w:rPr>
              <w:t>14</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8"/>
        </w:trPr>
        <w:tc>
          <w:tcPr>
            <w:tcW w:w="664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66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color w:val="auto"/>
        </w:rPr>
        <w:t>Zai Lab Limited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Restricted Net Assets</w:t>
      </w:r>
    </w:p>
    <w:p>
      <w:pPr>
        <w:spacing w:after="0" w:line="186" w:lineRule="exact"/>
        <w:rPr>
          <w:sz w:val="20"/>
          <w:szCs w:val="20"/>
          <w:color w:val="auto"/>
        </w:rPr>
      </w:pPr>
    </w:p>
    <w:p>
      <w:pPr>
        <w:jc w:val="both"/>
        <w:ind w:right="40" w:firstLine="470"/>
        <w:spacing w:after="0" w:line="316" w:lineRule="auto"/>
        <w:rPr>
          <w:sz w:val="20"/>
          <w:szCs w:val="20"/>
          <w:color w:val="auto"/>
        </w:rPr>
      </w:pPr>
      <w:r>
        <w:rPr>
          <w:rFonts w:ascii="Times New Roman" w:cs="Times New Roman" w:eastAsia="Times New Roman" w:hAnsi="Times New Roman"/>
          <w:sz w:val="17"/>
          <w:szCs w:val="17"/>
          <w:color w:val="auto"/>
        </w:rPr>
        <w:t>Chinese laws and regulations restrict the Company’s ability to receive distributions of funds from its Chinese subsidiaries. For example, relevant Chinese laws and regulations permit payments of dividends by the Company’s Chinese subsidiaries only out of its retained earnings, if any, as determined in accordance with Chinese accounting standards and regulations.</w:t>
      </w:r>
    </w:p>
    <w:p>
      <w:pPr>
        <w:spacing w:after="0" w:line="116" w:lineRule="exact"/>
        <w:rPr>
          <w:sz w:val="20"/>
          <w:szCs w:val="20"/>
          <w:color w:val="auto"/>
        </w:rPr>
      </w:pPr>
    </w:p>
    <w:p>
      <w:pPr>
        <w:ind w:right="240" w:firstLine="470"/>
        <w:spacing w:after="0" w:line="307" w:lineRule="auto"/>
        <w:rPr>
          <w:sz w:val="20"/>
          <w:szCs w:val="20"/>
          <w:color w:val="auto"/>
        </w:rPr>
      </w:pPr>
      <w:r>
        <w:rPr>
          <w:rFonts w:ascii="Times New Roman" w:cs="Times New Roman" w:eastAsia="Times New Roman" w:hAnsi="Times New Roman"/>
          <w:sz w:val="17"/>
          <w:szCs w:val="17"/>
          <w:color w:val="auto"/>
        </w:rPr>
        <w:t>In accordance with the Company Law of the People’s Republic of China, each Chinese subsidiary of the Company is required to provide statutory reserves of at least 10% of its annual after-tax profit until such reserve has reached 50% of its respective registered capital based on the enterprise’s Chinese statutory accounts. The reserves can only be used for specific purposes and are not distributable as cash dividends. Foreign exchange and other regulations in mainland China may further restrict the Company’s Chinese subsidiaries from transferring out funds in the form of dividends, loans, and advances.</w:t>
      </w:r>
    </w:p>
    <w:p>
      <w:pPr>
        <w:spacing w:after="0" w:line="124" w:lineRule="exact"/>
        <w:rPr>
          <w:sz w:val="20"/>
          <w:szCs w:val="20"/>
          <w:color w:val="auto"/>
        </w:rPr>
      </w:pPr>
    </w:p>
    <w:p>
      <w:pPr>
        <w:ind w:right="40" w:firstLine="470"/>
        <w:spacing w:after="0" w:line="307" w:lineRule="auto"/>
        <w:rPr>
          <w:sz w:val="20"/>
          <w:szCs w:val="20"/>
          <w:color w:val="auto"/>
        </w:rPr>
      </w:pPr>
      <w:r>
        <w:rPr>
          <w:rFonts w:ascii="Times New Roman" w:cs="Times New Roman" w:eastAsia="Times New Roman" w:hAnsi="Times New Roman"/>
          <w:sz w:val="17"/>
          <w:szCs w:val="17"/>
          <w:color w:val="auto"/>
        </w:rPr>
        <w:t>No appropriation to statutory reserves was made in the first quarter of 2026 and 2025 because the Chinese subsidiaries had substantial losses during such periods. The Company did not receive any distributions from its Chinese subsidiaries; such distributions were not permitted under Chinese laws and regulations due to the reserve requirements discussed above. As of both March 31, 2026 and December 31, 2025, amounts restricted included the paid-in capital of the Company’s subsidiaries in mainland China and were $516.0 million.</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Commitments and Contingencies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 Purchase Commitments</w:t>
      </w:r>
    </w:p>
    <w:p>
      <w:pPr>
        <w:spacing w:after="0" w:line="188" w:lineRule="exact"/>
        <w:rPr>
          <w:sz w:val="20"/>
          <w:szCs w:val="20"/>
          <w:color w:val="auto"/>
        </w:rPr>
      </w:pPr>
    </w:p>
    <w:p>
      <w:pPr>
        <w:ind w:right="300" w:firstLine="470"/>
        <w:spacing w:after="0" w:line="316" w:lineRule="auto"/>
        <w:rPr>
          <w:sz w:val="20"/>
          <w:szCs w:val="20"/>
          <w:color w:val="auto"/>
        </w:rPr>
      </w:pPr>
      <w:r>
        <w:rPr>
          <w:rFonts w:ascii="Times New Roman" w:cs="Times New Roman" w:eastAsia="Times New Roman" w:hAnsi="Times New Roman"/>
          <w:sz w:val="17"/>
          <w:szCs w:val="17"/>
          <w:color w:val="auto"/>
        </w:rPr>
        <w:t>As of March 31, 2026, the Company’s commitments were $1.4 million and related to commercial manufacturing development activities and capital expenditures that are contracted but not yet reflected in the unaudited condensed consolidated financial statements. These commitments were expected to be incurred within one year from March 31, 2026.</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 Legal Proceedings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Company is not currently a party to any material legal proceedings.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 Indemnifications</w:t>
      </w:r>
    </w:p>
    <w:p>
      <w:pPr>
        <w:spacing w:after="0" w:line="188" w:lineRule="exact"/>
        <w:rPr>
          <w:sz w:val="20"/>
          <w:szCs w:val="20"/>
          <w:color w:val="auto"/>
        </w:rPr>
      </w:pPr>
    </w:p>
    <w:p>
      <w:pPr>
        <w:jc w:val="both"/>
        <w:ind w:right="280" w:firstLine="470"/>
        <w:spacing w:after="0" w:line="316" w:lineRule="auto"/>
        <w:rPr>
          <w:sz w:val="20"/>
          <w:szCs w:val="20"/>
          <w:color w:val="auto"/>
        </w:rPr>
      </w:pPr>
      <w:r>
        <w:rPr>
          <w:rFonts w:ascii="Times New Roman" w:cs="Times New Roman" w:eastAsia="Times New Roman" w:hAnsi="Times New Roman"/>
          <w:sz w:val="17"/>
          <w:szCs w:val="17"/>
          <w:color w:val="auto"/>
        </w:rPr>
        <w:t>In the normal course of business, the Company enters into agreements that indemnify others for certain liabilities that may arise in connection with a transaction or certain events and activities. To date, the Company has not paid any claims or been required to defend any action related to its indemnification obligations.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Segment Information</w:t>
      </w:r>
    </w:p>
    <w:p>
      <w:pPr>
        <w:spacing w:after="0" w:line="186" w:lineRule="exact"/>
        <w:rPr>
          <w:sz w:val="20"/>
          <w:szCs w:val="20"/>
          <w:color w:val="auto"/>
        </w:rPr>
      </w:pPr>
    </w:p>
    <w:p>
      <w:pPr>
        <w:ind w:firstLine="470"/>
        <w:spacing w:after="0" w:line="301" w:lineRule="auto"/>
        <w:rPr>
          <w:sz w:val="20"/>
          <w:szCs w:val="20"/>
          <w:color w:val="auto"/>
        </w:rPr>
      </w:pPr>
      <w:r>
        <w:rPr>
          <w:rFonts w:ascii="Times New Roman" w:cs="Times New Roman" w:eastAsia="Times New Roman" w:hAnsi="Times New Roman"/>
          <w:sz w:val="17"/>
          <w:szCs w:val="17"/>
          <w:color w:val="auto"/>
        </w:rPr>
        <w:t>The Company operates as a single operating segment that is engaged in discovering, developing, and commercializing products that address medical conditions with significant unmet needs in the areas of oncology, immunology, neuroscience, and infectious disease. A global research and development organization and a supply chain organization discover, develop, manufacture, and supply our products. A global commercial organization markets, distributes, and sells the products. The business is also supported by global corporate staff functions. The Company’s Chief Operating Decision Maker (the “CODM”) is the Chief Executive Officer, who assesses performance and allocates resources based on significant expenses and net income on a consolidated basis. The significant expenses that are regularly provided to the CODM include those amounts that are also reported on the consolidated statement of operations as well as below additional disaggregated measures. The CODM also reviews cash position (which are cash and cash equivalents, current restricted cash, and short-term investments) that are also reported on the consolidated balance sheets when making operating decisions. In accordance with ASC 280, the Company has only one reportable segment.</w:t>
      </w:r>
    </w:p>
    <w:p>
      <w:pPr>
        <w:spacing w:after="0" w:line="200" w:lineRule="exact"/>
        <w:rPr>
          <w:sz w:val="20"/>
          <w:szCs w:val="20"/>
          <w:color w:val="auto"/>
        </w:rPr>
      </w:pPr>
    </w:p>
    <w:p>
      <w:pPr>
        <w:spacing w:after="0" w:line="33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563"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color w:val="auto"/>
        </w:rPr>
        <w:t>Zai Lab Limited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tables present disaggregated expenses that are regularly provided to the CODM:</w:t>
      </w:r>
    </w:p>
    <w:p>
      <w:pPr>
        <w:spacing w:after="0" w:line="230"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Borders>
              <w:bottom w:val="single" w:sz="8" w:color="CCEEFF"/>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9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8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Personnel compensation and related costs</w:t>
            </w:r>
          </w:p>
        </w:tc>
        <w:tc>
          <w:tcPr>
            <w:tcW w:w="1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18,470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24,079</w:t>
            </w:r>
          </w:p>
        </w:tc>
        <w:tc>
          <w:tcPr>
            <w:tcW w:w="0" w:type="dxa"/>
            <w:vAlign w:val="bottom"/>
          </w:tcPr>
          <w:p>
            <w:pPr>
              <w:spacing w:after="0"/>
              <w:rPr>
                <w:sz w:val="1"/>
                <w:szCs w:val="1"/>
                <w:color w:val="auto"/>
              </w:rPr>
            </w:pPr>
          </w:p>
        </w:tc>
      </w:tr>
      <w:tr>
        <w:trPr>
          <w:trHeight w:val="222"/>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Licensing fees</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22,000</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19,997</w:t>
            </w:r>
          </w:p>
        </w:tc>
        <w:tc>
          <w:tcPr>
            <w:tcW w:w="0" w:type="dxa"/>
            <w:vAlign w:val="bottom"/>
          </w:tcPr>
          <w:p>
            <w:pPr>
              <w:spacing w:after="0"/>
              <w:rPr>
                <w:sz w:val="1"/>
                <w:szCs w:val="1"/>
                <w:color w:val="auto"/>
              </w:rPr>
            </w:pPr>
          </w:p>
        </w:tc>
      </w:tr>
      <w:tr>
        <w:trPr>
          <w:trHeight w:val="222"/>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CROs/CMOs/Investigators expenses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19,540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9,830</w:t>
            </w:r>
          </w:p>
        </w:tc>
        <w:tc>
          <w:tcPr>
            <w:tcW w:w="0" w:type="dxa"/>
            <w:vAlign w:val="bottom"/>
          </w:tcPr>
          <w:p>
            <w:pPr>
              <w:spacing w:after="0"/>
              <w:rPr>
                <w:sz w:val="1"/>
                <w:szCs w:val="1"/>
                <w:color w:val="auto"/>
              </w:rPr>
            </w:pPr>
          </w:p>
        </w:tc>
      </w:tr>
      <w:tr>
        <w:trPr>
          <w:trHeight w:val="222"/>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costs</w:t>
            </w:r>
          </w:p>
        </w:tc>
        <w:tc>
          <w:tcPr>
            <w:tcW w:w="1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5,581</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6,823</w:t>
            </w:r>
          </w:p>
        </w:tc>
        <w:tc>
          <w:tcPr>
            <w:tcW w:w="0" w:type="dxa"/>
            <w:vAlign w:val="bottom"/>
          </w:tcPr>
          <w:p>
            <w:pPr>
              <w:spacing w:after="0"/>
              <w:rPr>
                <w:sz w:val="1"/>
                <w:szCs w:val="1"/>
                <w:color w:val="auto"/>
              </w:rPr>
            </w:pPr>
          </w:p>
        </w:tc>
      </w:tr>
      <w:tr>
        <w:trPr>
          <w:trHeight w:val="235"/>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research and development expenses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65,591</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60,729</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94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640" w:type="dxa"/>
            <w:vAlign w:val="bottom"/>
            <w:tcBorders>
              <w:bottom w:val="single" w:sz="8" w:color="CCEEFF"/>
            </w:tcBorders>
          </w:tcPr>
          <w:p>
            <w:pPr>
              <w:spacing w:after="0"/>
              <w:rPr>
                <w:sz w:val="15"/>
                <w:szCs w:val="15"/>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9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8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Clinical programs</w:t>
            </w:r>
          </w:p>
        </w:tc>
        <w:tc>
          <w:tcPr>
            <w:tcW w:w="1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31,090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28,092</w:t>
            </w:r>
          </w:p>
        </w:tc>
        <w:tc>
          <w:tcPr>
            <w:tcW w:w="0" w:type="dxa"/>
            <w:vAlign w:val="bottom"/>
          </w:tcPr>
          <w:p>
            <w:pPr>
              <w:spacing w:after="0"/>
              <w:rPr>
                <w:sz w:val="1"/>
                <w:szCs w:val="1"/>
                <w:color w:val="auto"/>
              </w:rPr>
            </w:pPr>
          </w:p>
        </w:tc>
      </w:tr>
      <w:tr>
        <w:trPr>
          <w:trHeight w:val="222"/>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Pre-Clinical programs</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11,716</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3,314</w:t>
            </w:r>
          </w:p>
        </w:tc>
        <w:tc>
          <w:tcPr>
            <w:tcW w:w="0" w:type="dxa"/>
            <w:vAlign w:val="bottom"/>
          </w:tcPr>
          <w:p>
            <w:pPr>
              <w:spacing w:after="0"/>
              <w:rPr>
                <w:sz w:val="1"/>
                <w:szCs w:val="1"/>
                <w:color w:val="auto"/>
              </w:rPr>
            </w:pPr>
          </w:p>
        </w:tc>
      </w:tr>
      <w:tr>
        <w:trPr>
          <w:trHeight w:val="22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Unallocated research and development expenses</w:t>
            </w:r>
          </w:p>
        </w:tc>
        <w:tc>
          <w:tcPr>
            <w:tcW w:w="1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22,785</w:t>
            </w:r>
          </w:p>
        </w:tc>
        <w:tc>
          <w:tcPr>
            <w:tcW w:w="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29,323</w:t>
            </w:r>
          </w:p>
        </w:tc>
        <w:tc>
          <w:tcPr>
            <w:tcW w:w="0" w:type="dxa"/>
            <w:vAlign w:val="bottom"/>
          </w:tcPr>
          <w:p>
            <w:pPr>
              <w:spacing w:after="0"/>
              <w:rPr>
                <w:sz w:val="1"/>
                <w:szCs w:val="1"/>
                <w:color w:val="auto"/>
              </w:rPr>
            </w:pPr>
          </w:p>
        </w:tc>
      </w:tr>
      <w:tr>
        <w:trPr>
          <w:trHeight w:val="215"/>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research and development expenses</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65,591</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60,729</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gridSpan w:val="3"/>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6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94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640" w:type="dxa"/>
            <w:vAlign w:val="bottom"/>
            <w:tcBorders>
              <w:bottom w:val="single" w:sz="8" w:color="CCEEFF"/>
            </w:tcBorders>
          </w:tcPr>
          <w:p>
            <w:pPr>
              <w:spacing w:after="0"/>
              <w:rPr>
                <w:sz w:val="15"/>
                <w:szCs w:val="15"/>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9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8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Personnel compensation and related costs</w:t>
            </w:r>
          </w:p>
        </w:tc>
        <w:tc>
          <w:tcPr>
            <w:tcW w:w="1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41,060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40,643</w:t>
            </w:r>
          </w:p>
        </w:tc>
        <w:tc>
          <w:tcPr>
            <w:tcW w:w="0" w:type="dxa"/>
            <w:vAlign w:val="bottom"/>
          </w:tcPr>
          <w:p>
            <w:pPr>
              <w:spacing w:after="0"/>
              <w:rPr>
                <w:sz w:val="1"/>
                <w:szCs w:val="1"/>
                <w:color w:val="auto"/>
              </w:rPr>
            </w:pPr>
          </w:p>
        </w:tc>
      </w:tr>
      <w:tr>
        <w:trPr>
          <w:trHeight w:val="222"/>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costs</w:t>
            </w:r>
          </w:p>
        </w:tc>
        <w:tc>
          <w:tcPr>
            <w:tcW w:w="1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24,010</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22,779</w:t>
            </w:r>
          </w:p>
        </w:tc>
        <w:tc>
          <w:tcPr>
            <w:tcW w:w="0" w:type="dxa"/>
            <w:vAlign w:val="bottom"/>
          </w:tcPr>
          <w:p>
            <w:pPr>
              <w:spacing w:after="0"/>
              <w:rPr>
                <w:sz w:val="1"/>
                <w:szCs w:val="1"/>
                <w:color w:val="auto"/>
              </w:rPr>
            </w:pPr>
          </w:p>
        </w:tc>
      </w:tr>
      <w:tr>
        <w:trPr>
          <w:trHeight w:val="235"/>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selling, general, and administrative expenses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65,070</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63,422</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gridSpan w:val="3"/>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6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94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640" w:type="dxa"/>
            <w:vAlign w:val="bottom"/>
            <w:tcBorders>
              <w:bottom w:val="single" w:sz="8" w:color="CCEEFF"/>
            </w:tcBorders>
          </w:tcPr>
          <w:p>
            <w:pPr>
              <w:spacing w:after="0"/>
              <w:rPr>
                <w:sz w:val="15"/>
                <w:szCs w:val="15"/>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9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8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1"/>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and marketing expenses</w:t>
            </w:r>
          </w:p>
        </w:tc>
        <w:tc>
          <w:tcPr>
            <w:tcW w:w="1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43,438</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41,939</w:t>
            </w:r>
          </w:p>
        </w:tc>
        <w:tc>
          <w:tcPr>
            <w:tcW w:w="0" w:type="dxa"/>
            <w:vAlign w:val="bottom"/>
          </w:tcPr>
          <w:p>
            <w:pPr>
              <w:spacing w:after="0"/>
              <w:rPr>
                <w:sz w:val="1"/>
                <w:szCs w:val="1"/>
                <w:color w:val="auto"/>
              </w:rPr>
            </w:pPr>
          </w:p>
        </w:tc>
      </w:tr>
      <w:tr>
        <w:trPr>
          <w:trHeight w:val="222"/>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1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21,632</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21,483</w:t>
            </w:r>
          </w:p>
        </w:tc>
        <w:tc>
          <w:tcPr>
            <w:tcW w:w="0" w:type="dxa"/>
            <w:vAlign w:val="bottom"/>
          </w:tcPr>
          <w:p>
            <w:pPr>
              <w:spacing w:after="0"/>
              <w:rPr>
                <w:sz w:val="1"/>
                <w:szCs w:val="1"/>
                <w:color w:val="auto"/>
              </w:rPr>
            </w:pPr>
          </w:p>
        </w:tc>
      </w:tr>
      <w:tr>
        <w:trPr>
          <w:trHeight w:val="235"/>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selling, general, and administrative expenses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65,070</w:t>
            </w: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63,422</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5780"/>
              <w:spacing w:after="0"/>
              <w:rPr>
                <w:sz w:val="20"/>
                <w:szCs w:val="20"/>
                <w:color w:val="auto"/>
              </w:rPr>
            </w:pPr>
            <w:r>
              <w:rPr>
                <w:rFonts w:ascii="Times New Roman" w:cs="Times New Roman" w:eastAsia="Times New Roman" w:hAnsi="Times New Roman"/>
                <w:sz w:val="17"/>
                <w:szCs w:val="17"/>
                <w:color w:val="auto"/>
              </w:rPr>
              <w:t>16</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3"/>
        </w:trPr>
        <w:tc>
          <w:tcPr>
            <w:tcW w:w="664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66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86" w:lineRule="exact"/>
        <w:rPr>
          <w:sz w:val="20"/>
          <w:szCs w:val="20"/>
          <w:color w:val="auto"/>
        </w:rPr>
      </w:pPr>
    </w:p>
    <w:p>
      <w:pPr>
        <w:ind w:right="120" w:firstLine="470"/>
        <w:spacing w:after="0" w:line="343" w:lineRule="auto"/>
        <w:rPr>
          <w:sz w:val="20"/>
          <w:szCs w:val="20"/>
          <w:color w:val="auto"/>
        </w:rPr>
      </w:pPr>
      <w:r>
        <w:rPr>
          <w:rFonts w:ascii="Times New Roman" w:cs="Times New Roman" w:eastAsia="Times New Roman" w:hAnsi="Times New Roman"/>
          <w:sz w:val="17"/>
          <w:szCs w:val="17"/>
          <w:color w:val="auto"/>
        </w:rPr>
        <w:t xml:space="preserve">You should read the following discussion and analysis of our financial condition and results of operations together with our 2025 Annual Report and our unaudited condensed consolidated financial statements and the accompanying notes for the first quarter of 2026 included in </w:t>
      </w:r>
      <w:r>
        <w:rPr>
          <w:rFonts w:ascii="Times New Roman" w:cs="Times New Roman" w:eastAsia="Times New Roman" w:hAnsi="Times New Roman"/>
          <w:sz w:val="17"/>
          <w:szCs w:val="17"/>
          <w:i w:val="1"/>
          <w:iCs w:val="1"/>
          <w:color w:val="auto"/>
        </w:rPr>
        <w:t>Item 1. Financial Statements</w:t>
      </w:r>
      <w:r>
        <w:rPr>
          <w:rFonts w:ascii="Times New Roman" w:cs="Times New Roman" w:eastAsia="Times New Roman" w:hAnsi="Times New Roman"/>
          <w:sz w:val="17"/>
          <w:szCs w:val="17"/>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86" w:lineRule="exact"/>
        <w:rPr>
          <w:sz w:val="20"/>
          <w:szCs w:val="20"/>
          <w:color w:val="auto"/>
        </w:rPr>
      </w:pPr>
    </w:p>
    <w:p>
      <w:pPr>
        <w:ind w:firstLine="470"/>
        <w:spacing w:after="0" w:line="296" w:lineRule="auto"/>
        <w:rPr>
          <w:sz w:val="20"/>
          <w:szCs w:val="20"/>
          <w:color w:val="auto"/>
        </w:rPr>
      </w:pPr>
      <w:r>
        <w:rPr>
          <w:rFonts w:ascii="Times New Roman" w:cs="Times New Roman" w:eastAsia="Times New Roman" w:hAnsi="Times New Roman"/>
          <w:sz w:val="17"/>
          <w:szCs w:val="17"/>
          <w:color w:val="auto"/>
        </w:rPr>
        <w:t>We are a patient-focused, innovative, commercial-stage, global biopharmaceutical company with a substantial presence in both Greater China and the United States. We are focused on discovering, developing, and commercializing products that address medical conditions with significant unmet needs in the areas of oncology, immunology, neuroscience, and infectious disease. We intend to leverage our competencies and resources to positively impact human health. We currently have seven commercial programs – ZEJULA, VYVGART / VYVGART Hytrulo, NUZYRA, OPTUNE, QINLOCK, XACDURO, and AUGTYRO</w:t>
      </w:r>
    </w:p>
    <w:p>
      <w:pPr>
        <w:spacing w:after="0" w:line="3" w:lineRule="exact"/>
        <w:rPr>
          <w:sz w:val="20"/>
          <w:szCs w:val="20"/>
          <w:color w:val="auto"/>
        </w:rPr>
      </w:pPr>
    </w:p>
    <w:p>
      <w:pPr>
        <w:ind w:right="80"/>
        <w:spacing w:after="0" w:line="343" w:lineRule="auto"/>
        <w:rPr>
          <w:sz w:val="20"/>
          <w:szCs w:val="20"/>
          <w:color w:val="auto"/>
        </w:rPr>
      </w:pPr>
      <w:r>
        <w:rPr>
          <w:rFonts w:ascii="Times New Roman" w:cs="Times New Roman" w:eastAsia="Times New Roman" w:hAnsi="Times New Roman"/>
          <w:sz w:val="17"/>
          <w:szCs w:val="17"/>
          <w:color w:val="auto"/>
        </w:rPr>
        <w:t>– with products that have received marketing approval and that we have commercially launched in China. We also have multiple programs in late-stage product development and a number of ongoing pivotal trials across our portfolio.</w:t>
      </w:r>
    </w:p>
    <w:p>
      <w:pPr>
        <w:spacing w:after="0" w:line="82" w:lineRule="exact"/>
        <w:rPr>
          <w:sz w:val="20"/>
          <w:szCs w:val="20"/>
          <w:color w:val="auto"/>
        </w:rPr>
      </w:pPr>
    </w:p>
    <w:p>
      <w:pPr>
        <w:ind w:right="180" w:firstLine="470"/>
        <w:spacing w:after="0" w:line="307" w:lineRule="auto"/>
        <w:rPr>
          <w:sz w:val="20"/>
          <w:szCs w:val="20"/>
          <w:color w:val="auto"/>
        </w:rPr>
      </w:pPr>
      <w:r>
        <w:rPr>
          <w:rFonts w:ascii="Times New Roman" w:cs="Times New Roman" w:eastAsia="Times New Roman" w:hAnsi="Times New Roman"/>
          <w:sz w:val="17"/>
          <w:szCs w:val="17"/>
          <w:color w:val="auto"/>
        </w:rPr>
        <w:t>Since our inception, we have incurred net losses and negative cash flows from our operations. Substantially all of our losses have resulted from funding our research and development programs and selling, general, and administrative costs associated with our operations. Developing high quality product candidates requires significant investment in our research and development activities over a prolonged period of time, and a core part of our strategy is to continue making sustained investments in this area. Our ability to generate profits and positive cash flow from operations depends upon our ability to successfully market our commercial products and to successfully expand the indications for these products and develop and commercialize our other product candidates. As discussed further below, we expect to continue to incur substantial costs related to our research and development and commercialization activities.</w:t>
      </w:r>
    </w:p>
    <w:p>
      <w:pPr>
        <w:spacing w:after="0" w:line="355" w:lineRule="exact"/>
        <w:rPr>
          <w:sz w:val="20"/>
          <w:szCs w:val="20"/>
          <w:color w:val="auto"/>
        </w:rPr>
      </w:pPr>
    </w:p>
    <w:p>
      <w:pPr>
        <w:ind w:firstLine="470"/>
        <w:spacing w:after="0" w:line="312" w:lineRule="auto"/>
        <w:rPr>
          <w:sz w:val="20"/>
          <w:szCs w:val="20"/>
          <w:color w:val="auto"/>
        </w:rPr>
      </w:pPr>
      <w:r>
        <w:rPr>
          <w:rFonts w:ascii="Times New Roman" w:cs="Times New Roman" w:eastAsia="Times New Roman" w:hAnsi="Times New Roman"/>
          <w:sz w:val="17"/>
          <w:szCs w:val="17"/>
          <w:color w:val="auto"/>
        </w:rPr>
        <w:t>As we pursue our corporate strategic goals, we anticipate that our financial results will fluctuate from quarter to quarter and year to year depending in part on the balance between the success of our commercial products and the level of our research and development expenses. We cannot predict whether or when our product candidates will receive regulatory approval. Further, if we receive such regulatory approval, we cannot predict whether or when we may be able to successfully commercialize such products or whether or when such products may become profitable.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Commercial Products</w:t>
      </w:r>
    </w:p>
    <w:p>
      <w:pPr>
        <w:spacing w:after="0" w:line="214" w:lineRule="exact"/>
        <w:rPr>
          <w:sz w:val="20"/>
          <w:szCs w:val="20"/>
          <w:color w:val="auto"/>
        </w:rPr>
      </w:pPr>
    </w:p>
    <w:p>
      <w:pPr>
        <w:ind w:right="20" w:firstLine="470"/>
        <w:spacing w:after="0" w:line="307" w:lineRule="auto"/>
        <w:rPr>
          <w:sz w:val="20"/>
          <w:szCs w:val="20"/>
          <w:color w:val="auto"/>
        </w:rPr>
      </w:pPr>
      <w:r>
        <w:rPr>
          <w:rFonts w:ascii="Times New Roman" w:cs="Times New Roman" w:eastAsia="Times New Roman" w:hAnsi="Times New Roman"/>
          <w:sz w:val="17"/>
          <w:szCs w:val="17"/>
          <w:color w:val="auto"/>
        </w:rPr>
        <w:t>Net product revenue was $95.6 million for the first quarter of 2026, a decrease of 10% compared to the prior year period, primarily due to decreased sales for ZEJULA, due to a shift in hospital utilization patterns following volume-based procurement for generic olaparib, and VYVGART, primarily due to a pricing adjustment related to NRDL renewal. These decreases were partially offset by increased sales for XACDURO, driven by strong patient demand and expanding hospital adoption but partially constrained by supply limitations, and increased sales for NUZYRA, supported by increased market coverage and penetration.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Candidates</w:t>
      </w:r>
    </w:p>
    <w:p>
      <w:pPr>
        <w:spacing w:after="0" w:line="188" w:lineRule="exact"/>
        <w:rPr>
          <w:sz w:val="20"/>
          <w:szCs w:val="20"/>
          <w:color w:val="auto"/>
        </w:rPr>
      </w:pPr>
    </w:p>
    <w:p>
      <w:pPr>
        <w:ind w:right="160" w:firstLine="470"/>
        <w:spacing w:after="0" w:line="327" w:lineRule="auto"/>
        <w:rPr>
          <w:sz w:val="20"/>
          <w:szCs w:val="20"/>
          <w:color w:val="auto"/>
        </w:rPr>
      </w:pPr>
      <w:r>
        <w:rPr>
          <w:rFonts w:ascii="Times New Roman" w:cs="Times New Roman" w:eastAsia="Times New Roman" w:hAnsi="Times New Roman"/>
          <w:sz w:val="17"/>
          <w:szCs w:val="17"/>
          <w:color w:val="auto"/>
        </w:rPr>
        <w:t>We continued to advance our product candidates through our research and development activities, including the following developments with respect to our clinical trials and regulatory approvals:</w:t>
      </w:r>
    </w:p>
    <w:p>
      <w:pPr>
        <w:spacing w:after="0" w:line="1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u w:val="single" w:color="auto"/>
          <w:color w:val="auto"/>
        </w:rPr>
        <w:t>Oncology</w:t>
      </w:r>
    </w:p>
    <w:p>
      <w:pPr>
        <w:spacing w:after="0" w:line="210" w:lineRule="exact"/>
        <w:rPr>
          <w:sz w:val="20"/>
          <w:szCs w:val="20"/>
          <w:color w:val="auto"/>
        </w:rPr>
      </w:pPr>
    </w:p>
    <w:p>
      <w:pPr>
        <w:ind w:left="940" w:right="600" w:hanging="308"/>
        <w:spacing w:after="0" w:line="317" w:lineRule="auto"/>
        <w:tabs>
          <w:tab w:leader="none" w:pos="9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Zocilurtatug Pelitecan (Zoci, DLL3-Targeting ADC) (formerly ZL-1310): </w:t>
      </w:r>
      <w:r>
        <w:rPr>
          <w:rFonts w:ascii="Times New Roman" w:cs="Times New Roman" w:eastAsia="Times New Roman" w:hAnsi="Times New Roman"/>
          <w:sz w:val="17"/>
          <w:szCs w:val="17"/>
          <w:color w:val="auto"/>
        </w:rPr>
        <w:t>In April 2026, we presented compelling clinical data at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American Association for Cancer Research (“AACR”) Annual Meeting 2026 demonstrating that zoci delivers rapid and robust intracranial responses in patients with previously treated ES-</w:t>
      </w:r>
    </w:p>
    <w:p>
      <w:pPr>
        <w:spacing w:after="0" w:line="200" w:lineRule="exact"/>
        <w:rPr>
          <w:sz w:val="20"/>
          <w:szCs w:val="20"/>
          <w:color w:val="auto"/>
        </w:rPr>
      </w:pPr>
    </w:p>
    <w:p>
      <w:pPr>
        <w:spacing w:after="0" w:line="32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348" w:right="359" w:bottom="1440" w:gutter="0" w:footer="0" w:header="0"/>
        </w:sectPr>
      </w:pPr>
    </w:p>
    <w:bookmarkStart w:id="22" w:name="page23"/>
    <w:bookmarkEnd w:id="22"/>
    <w:p>
      <w:pPr>
        <w:ind w:left="308" w:right="60"/>
        <w:spacing w:after="0" w:line="343" w:lineRule="auto"/>
        <w:rPr>
          <w:sz w:val="20"/>
          <w:szCs w:val="20"/>
          <w:color w:val="auto"/>
        </w:rPr>
      </w:pPr>
      <w:r>
        <w:rPr>
          <w:rFonts w:ascii="Times New Roman" w:cs="Times New Roman" w:eastAsia="Times New Roman" w:hAnsi="Times New Roman"/>
          <w:sz w:val="17"/>
          <w:szCs w:val="17"/>
          <w:color w:val="auto"/>
        </w:rPr>
        <w:t>SCLC and brain metastases as measured by blinded independent assessment using mRANO-BM criteria, as well as promising data in patients with extrapulmonary NECs.</w:t>
      </w:r>
    </w:p>
    <w:p>
      <w:pPr>
        <w:spacing w:after="0" w:line="80" w:lineRule="exact"/>
        <w:rPr>
          <w:sz w:val="20"/>
          <w:szCs w:val="20"/>
          <w:color w:val="auto"/>
        </w:rPr>
      </w:pPr>
    </w:p>
    <w:p>
      <w:pPr>
        <w:ind w:left="928" w:hanging="301"/>
        <w:spacing w:after="0"/>
        <w:tabs>
          <w:tab w:leader="none" w:pos="928"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SCLC with Brain Metastases</w:t>
      </w:r>
      <w:r>
        <w:rPr>
          <w:rFonts w:ascii="Times New Roman" w:cs="Times New Roman" w:eastAsia="Times New Roman" w:hAnsi="Times New Roman"/>
          <w:sz w:val="17"/>
          <w:szCs w:val="17"/>
          <w:color w:val="auto"/>
        </w:rPr>
        <w:t>: Zoci showed a 53.7% confirmed intracranial objective response rate with 62.5% (10/16) at the 1.6 mg/kg</w:t>
      </w:r>
    </w:p>
    <w:p>
      <w:pPr>
        <w:spacing w:after="0" w:line="54" w:lineRule="exact"/>
        <w:rPr>
          <w:rFonts w:ascii="Times New Roman" w:cs="Times New Roman" w:eastAsia="Times New Roman" w:hAnsi="Times New Roman"/>
          <w:sz w:val="17"/>
          <w:szCs w:val="17"/>
          <w:color w:val="auto"/>
        </w:rPr>
      </w:pPr>
    </w:p>
    <w:p>
      <w:pPr>
        <w:ind w:left="948" w:right="560"/>
        <w:spacing w:after="0" w:line="31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dose, including complete responses. Notably, responses were observed in patients without prior brain radiotherapy (9/15, 60%), highlighting the net drug effect on the intracranial lesions. Zoci was well tolerated, with Grade ≥3 treatment-related adverse events (“TRAEs”) in 19.9% (27/136) of the overall population and in 16.4% (9/55) of patients who received 1.6mg/kg.</w:t>
      </w:r>
    </w:p>
    <w:p>
      <w:pPr>
        <w:spacing w:after="0" w:line="101" w:lineRule="exact"/>
        <w:rPr>
          <w:rFonts w:ascii="Times New Roman" w:cs="Times New Roman" w:eastAsia="Times New Roman" w:hAnsi="Times New Roman"/>
          <w:sz w:val="17"/>
          <w:szCs w:val="17"/>
          <w:color w:val="auto"/>
        </w:rPr>
      </w:pPr>
    </w:p>
    <w:p>
      <w:pPr>
        <w:ind w:left="928" w:hanging="301"/>
        <w:spacing w:after="0"/>
        <w:tabs>
          <w:tab w:leader="none" w:pos="928"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Extrapulmonary NECs</w:t>
      </w:r>
      <w:r>
        <w:rPr>
          <w:rFonts w:ascii="Times New Roman" w:cs="Times New Roman" w:eastAsia="Times New Roman" w:hAnsi="Times New Roman"/>
          <w:sz w:val="17"/>
          <w:szCs w:val="17"/>
          <w:color w:val="auto"/>
        </w:rPr>
        <w:t>: Encouraging activity was observed with a 38.2% confirmed objective response rate across extrapulmonary NECs</w:t>
      </w:r>
    </w:p>
    <w:p>
      <w:pPr>
        <w:spacing w:after="0" w:line="54" w:lineRule="exact"/>
        <w:rPr>
          <w:rFonts w:ascii="Times New Roman" w:cs="Times New Roman" w:eastAsia="Times New Roman" w:hAnsi="Times New Roman"/>
          <w:sz w:val="17"/>
          <w:szCs w:val="17"/>
          <w:color w:val="auto"/>
        </w:rPr>
      </w:pPr>
    </w:p>
    <w:p>
      <w:pPr>
        <w:ind w:left="948"/>
        <w:spacing w:after="0" w:line="32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different primary origins. The safety profile in extrapulmonary NECs was consistent with that previously observed in SCLC with Grade ≥3 TRAEs in 15.2% of patients in Phase 1b.</w:t>
      </w:r>
    </w:p>
    <w:p>
      <w:pPr>
        <w:spacing w:after="0" w:line="105" w:lineRule="exact"/>
        <w:rPr>
          <w:sz w:val="20"/>
          <w:szCs w:val="20"/>
          <w:color w:val="auto"/>
        </w:rPr>
      </w:pPr>
    </w:p>
    <w:p>
      <w:pPr>
        <w:ind w:left="308" w:right="160"/>
        <w:spacing w:after="0" w:line="277" w:lineRule="auto"/>
        <w:rPr>
          <w:sz w:val="20"/>
          <w:szCs w:val="20"/>
          <w:color w:val="auto"/>
        </w:rPr>
      </w:pPr>
      <w:r>
        <w:rPr>
          <w:rFonts w:ascii="Times New Roman" w:cs="Times New Roman" w:eastAsia="Times New Roman" w:hAnsi="Times New Roman"/>
          <w:sz w:val="17"/>
          <w:szCs w:val="17"/>
          <w:color w:val="auto"/>
        </w:rPr>
        <w:t>In April 2026, we announced a global clinical trial collaboration with Amgen to evaluate zoci in combination with Amgen’s IMDELLTRA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(tarlatamab-dlle), a DLL3/CD3 bispecific T-cell engager, for ES-SCLC and a clinical collaboration with Boehringer Ingelheim to evaluate zoci in combination with obrixtamig, a DLL3/CD3 bispecific T-cell engager, for SCLC and other NECs.</w:t>
      </w:r>
    </w:p>
    <w:p>
      <w:pPr>
        <w:spacing w:after="0" w:line="146" w:lineRule="exact"/>
        <w:rPr>
          <w:sz w:val="20"/>
          <w:szCs w:val="20"/>
          <w:color w:val="auto"/>
        </w:rPr>
      </w:pPr>
    </w:p>
    <w:p>
      <w:pPr>
        <w:ind w:left="308" w:right="20" w:hanging="308"/>
        <w:spacing w:after="0" w:line="298" w:lineRule="auto"/>
        <w:tabs>
          <w:tab w:leader="none" w:pos="30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Tumor Treating Fields (TTFields): </w:t>
      </w:r>
      <w:r>
        <w:rPr>
          <w:rFonts w:ascii="Times New Roman" w:cs="Times New Roman" w:eastAsia="Times New Roman" w:hAnsi="Times New Roman"/>
          <w:sz w:val="17"/>
          <w:szCs w:val="17"/>
          <w:color w:val="auto"/>
        </w:rPr>
        <w:t>We participated in the Greater China portion of the Phase 3 pivotal PANOVA-3 trial evaluating the efficacy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TTFields therapy administered concomitantly with gemcitabine and nab-paclitaxel as a 1L treatment for patients with unresectable, locally</w:t>
      </w:r>
    </w:p>
    <w:p>
      <w:pPr>
        <w:jc w:val="both"/>
        <w:ind w:left="308" w:right="280"/>
        <w:spacing w:after="0" w:line="29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advanced pancreatic cancer. In February 2026, the FDA approved TTFields, under the brand name OPTUNE Pax, for this indication. In August 2025, the NMPA granted Innovative Medical Device Designation for TTFields therapy for patients with pancreatic cancer based on the positive</w:t>
      </w:r>
    </w:p>
    <w:p>
      <w:pPr>
        <w:spacing w:after="0" w:line="1" w:lineRule="exact"/>
        <w:rPr>
          <w:rFonts w:ascii="Times New Roman" w:cs="Times New Roman" w:eastAsia="Times New Roman" w:hAnsi="Times New Roman"/>
          <w:sz w:val="17"/>
          <w:szCs w:val="17"/>
          <w:color w:val="auto"/>
        </w:rPr>
      </w:pPr>
    </w:p>
    <w:p>
      <w:pPr>
        <w:jc w:val="both"/>
        <w:ind w:left="308" w:right="220"/>
        <w:spacing w:after="0" w:line="29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from the Phase 3 PANOVA-3 trial. This designation offers opportunities to expedite the regulatory review and approval process. The trial met its primary endpoint, demonstrating a statistically significant improvement in median overall survival for patients treated with TTFields. We</w:t>
      </w:r>
    </w:p>
    <w:p>
      <w:pPr>
        <w:spacing w:after="0" w:line="1" w:lineRule="exact"/>
        <w:rPr>
          <w:rFonts w:ascii="Times New Roman" w:cs="Times New Roman" w:eastAsia="Times New Roman" w:hAnsi="Times New Roman"/>
          <w:sz w:val="17"/>
          <w:szCs w:val="17"/>
          <w:color w:val="auto"/>
        </w:rPr>
      </w:pPr>
    </w:p>
    <w:p>
      <w:pPr>
        <w:ind w:left="308" w:right="220"/>
        <w:spacing w:after="0" w:line="32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for regulatory approval in mainland China in the fourth quarter of 2025 for this combination treatment in patients with unresectable, locally advanced pancreatic cancer.</w:t>
      </w:r>
    </w:p>
    <w:p>
      <w:pPr>
        <w:spacing w:after="0" w:line="10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i w:val="1"/>
          <w:iCs w:val="1"/>
          <w:u w:val="single" w:color="auto"/>
          <w:color w:val="auto"/>
        </w:rPr>
        <w:t>Immunology, Neuroscience, and Infectious Disease</w:t>
      </w:r>
    </w:p>
    <w:p>
      <w:pPr>
        <w:spacing w:after="0" w:line="197" w:lineRule="exact"/>
        <w:rPr>
          <w:sz w:val="20"/>
          <w:szCs w:val="20"/>
          <w:color w:val="auto"/>
        </w:rPr>
      </w:pPr>
    </w:p>
    <w:p>
      <w:pPr>
        <w:ind w:left="308" w:hanging="308"/>
        <w:spacing w:after="0"/>
        <w:tabs>
          <w:tab w:leader="none" w:pos="308"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Efgartigimod (FcRn): </w:t>
      </w:r>
      <w:r>
        <w:rPr>
          <w:rFonts w:ascii="Times New Roman" w:cs="Times New Roman" w:eastAsia="Times New Roman" w:hAnsi="Times New Roman"/>
          <w:sz w:val="17"/>
          <w:szCs w:val="17"/>
          <w:color w:val="auto"/>
        </w:rPr>
        <w:t>In August 2025, our partner argenx announced topline results from the pivotal ADAPT SERON study of VYVGART in</w:t>
      </w:r>
    </w:p>
    <w:p>
      <w:pPr>
        <w:spacing w:after="0" w:line="54" w:lineRule="exact"/>
        <w:rPr>
          <w:rFonts w:ascii="Times New Roman" w:cs="Times New Roman" w:eastAsia="Times New Roman" w:hAnsi="Times New Roman"/>
          <w:sz w:val="17"/>
          <w:szCs w:val="17"/>
          <w:color w:val="auto"/>
        </w:rPr>
      </w:pPr>
    </w:p>
    <w:p>
      <w:pPr>
        <w:ind w:left="308" w:right="220"/>
        <w:spacing w:after="0" w:line="29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patients with AChR-Ab sn-gMG. The study met its primary endpoint (p-value=0.0068), demonstrating that AChR-Ab sn-gMG patients treated with VYVGART achieved a statistically significant and clinically meaningful improvement in MG-ADL (Myasthenia Gravis Activities of Daily</w:t>
      </w:r>
    </w:p>
    <w:p>
      <w:pPr>
        <w:spacing w:after="0" w:line="1" w:lineRule="exact"/>
        <w:rPr>
          <w:rFonts w:ascii="Times New Roman" w:cs="Times New Roman" w:eastAsia="Times New Roman" w:hAnsi="Times New Roman"/>
          <w:sz w:val="17"/>
          <w:szCs w:val="17"/>
          <w:color w:val="auto"/>
        </w:rPr>
      </w:pPr>
    </w:p>
    <w:p>
      <w:pPr>
        <w:ind w:left="308" w:right="80"/>
        <w:spacing w:after="0" w:line="31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Living) total score compared to placebo. VYVGART was well tolerated and safe across AChR-Ab seronegative subtypes and consistent with the established safety profile in patients with AChR-Ab seropositive gMG and other indications. No new safety concerns were identified. We participated in the study in Greater China. In January 2026, the FDA accepted for priority review an sBLA submitted by argenx seeking expansion of the VYVGART label to include adult AChR-Ab sn-gMG patients with a PDUFA target action date of May 10, 2026.</w:t>
      </w:r>
    </w:p>
    <w:p>
      <w:pPr>
        <w:spacing w:after="0" w:line="185" w:lineRule="exact"/>
        <w:rPr>
          <w:rFonts w:ascii="Times New Roman" w:cs="Times New Roman" w:eastAsia="Times New Roman" w:hAnsi="Times New Roman"/>
          <w:sz w:val="17"/>
          <w:szCs w:val="17"/>
          <w:color w:val="auto"/>
        </w:rPr>
      </w:pPr>
    </w:p>
    <w:p>
      <w:pPr>
        <w:ind w:left="30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February 2026, argenx announced topline results from the global registrational Phase 3 ADAPT-OCULUS study of efgartigimod for the</w:t>
      </w:r>
    </w:p>
    <w:p>
      <w:pPr>
        <w:spacing w:after="0" w:line="52" w:lineRule="exact"/>
        <w:rPr>
          <w:rFonts w:ascii="Times New Roman" w:cs="Times New Roman" w:eastAsia="Times New Roman" w:hAnsi="Times New Roman"/>
          <w:sz w:val="17"/>
          <w:szCs w:val="17"/>
          <w:color w:val="auto"/>
        </w:rPr>
      </w:pPr>
    </w:p>
    <w:p>
      <w:pPr>
        <w:ind w:left="308" w:right="100"/>
        <w:spacing w:after="0" w:line="29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treatment of ocular MG. The study met its primary endpoint (p-value=0.012), demonstrating that patients living with ocular MG and treated with VYVGART demonstrated statistically significant improvement from baseline in Myasthenia Impairment Index (MGII) Patient Reported Outcome</w:t>
      </w:r>
    </w:p>
    <w:p>
      <w:pPr>
        <w:spacing w:after="0" w:line="1" w:lineRule="exact"/>
        <w:rPr>
          <w:rFonts w:ascii="Times New Roman" w:cs="Times New Roman" w:eastAsia="Times New Roman" w:hAnsi="Times New Roman"/>
          <w:sz w:val="17"/>
          <w:szCs w:val="17"/>
          <w:color w:val="auto"/>
        </w:rPr>
      </w:pPr>
    </w:p>
    <w:p>
      <w:pPr>
        <w:ind w:left="308" w:right="20"/>
        <w:spacing w:after="0" w:line="31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 ocular scores at Week 4 compared to placebo. In the overall population, mean change from baseline in patients treated with VYVGART was a 4.04 point improvement in MGII PRO versus a mean change of 1.99 MGII PRO score in patients treated with placebo. VYVGART was well tolerated and had a favorable safety profile in patients with oMG, consistent with prior studies. We participated in the study in Greater China.</w:t>
      </w:r>
    </w:p>
    <w:p>
      <w:pPr>
        <w:spacing w:after="0" w:line="200" w:lineRule="exact"/>
        <w:rPr>
          <w:sz w:val="20"/>
          <w:szCs w:val="20"/>
          <w:color w:val="auto"/>
        </w:rPr>
      </w:pPr>
    </w:p>
    <w:p>
      <w:pPr>
        <w:spacing w:after="0" w:line="322" w:lineRule="exact"/>
        <w:rPr>
          <w:sz w:val="20"/>
          <w:szCs w:val="20"/>
          <w:color w:val="auto"/>
        </w:rPr>
      </w:pPr>
    </w:p>
    <w:p>
      <w:pPr>
        <w:jc w:val="center"/>
        <w:ind w:right="152"/>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65405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608"/>
          </w:cols>
          <w:pgMar w:left="952" w:top="1206" w:right="339" w:bottom="1440" w:gutter="0" w:footer="0" w:header="0"/>
        </w:sectPr>
      </w:pPr>
    </w:p>
    <w:bookmarkStart w:id="23" w:name="page24"/>
    <w:bookmarkEnd w:id="23"/>
    <w:p>
      <w:pPr>
        <w:ind w:left="940" w:hanging="308"/>
        <w:spacing w:after="0"/>
        <w:tabs>
          <w:tab w:leader="none" w:pos="94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ZL-1503 (IL-13/IL-31Rα): </w:t>
      </w:r>
      <w:r>
        <w:rPr>
          <w:rFonts w:ascii="Times New Roman" w:cs="Times New Roman" w:eastAsia="Times New Roman" w:hAnsi="Times New Roman"/>
          <w:sz w:val="17"/>
          <w:szCs w:val="17"/>
          <w:color w:val="auto"/>
        </w:rPr>
        <w:t>In April 2026, we announced new data from a preclinical study of ZL-1503, demonstrating that our internally</w:t>
      </w:r>
    </w:p>
    <w:p>
      <w:pPr>
        <w:spacing w:after="0" w:line="54" w:lineRule="exact"/>
        <w:rPr>
          <w:rFonts w:ascii="Times New Roman" w:cs="Times New Roman" w:eastAsia="Times New Roman" w:hAnsi="Times New Roman"/>
          <w:sz w:val="17"/>
          <w:szCs w:val="17"/>
          <w:b w:val="1"/>
          <w:bCs w:val="1"/>
          <w:color w:val="auto"/>
        </w:rPr>
      </w:pPr>
    </w:p>
    <w:p>
      <w:pPr>
        <w:ind w:left="940" w:right="160"/>
        <w:spacing w:after="0" w:line="29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developed IL-13/IL-31Rα bispecific antibody may lead to sustained suppression of intense pruritus (itch) and inflammation caused by atopic diseases. The findings reinforce the potential of ZL-1503 to be a first-in-class treatment option for moderate-to-severe atopic dermatitis and other</w:t>
      </w:r>
    </w:p>
    <w:p>
      <w:pPr>
        <w:spacing w:after="0" w:line="1" w:lineRule="exact"/>
        <w:rPr>
          <w:rFonts w:ascii="Times New Roman" w:cs="Times New Roman" w:eastAsia="Times New Roman" w:hAnsi="Times New Roman"/>
          <w:sz w:val="17"/>
          <w:szCs w:val="17"/>
          <w:b w:val="1"/>
          <w:bCs w:val="1"/>
          <w:color w:val="auto"/>
        </w:rPr>
      </w:pPr>
    </w:p>
    <w:p>
      <w:pPr>
        <w:ind w:left="940" w:right="300"/>
        <w:spacing w:after="0" w:line="32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IL-13 and IL-31-driven diseases. A global Phase 1/1b study is ongoing, and we expect to report the first-in-human data from the global Phase 1 portion in the second half of 2026.</w:t>
      </w:r>
    </w:p>
    <w:p>
      <w:pPr>
        <w:spacing w:after="0" w:line="105" w:lineRule="exact"/>
        <w:rPr>
          <w:rFonts w:ascii="Times New Roman" w:cs="Times New Roman" w:eastAsia="Times New Roman" w:hAnsi="Times New Roman"/>
          <w:sz w:val="17"/>
          <w:szCs w:val="17"/>
          <w:b w:val="1"/>
          <w:bCs w:val="1"/>
          <w:color w:val="auto"/>
        </w:rPr>
      </w:pPr>
    </w:p>
    <w:p>
      <w:pPr>
        <w:ind w:left="940" w:hanging="308"/>
        <w:spacing w:after="0"/>
        <w:tabs>
          <w:tab w:leader="none" w:pos="94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Povetacicept (Pove, Anti-APRIL/BAFF):</w:t>
      </w:r>
    </w:p>
    <w:p>
      <w:pPr>
        <w:spacing w:after="0" w:line="196" w:lineRule="exact"/>
        <w:rPr>
          <w:rFonts w:ascii="Times New Roman" w:cs="Times New Roman" w:eastAsia="Times New Roman" w:hAnsi="Times New Roman"/>
          <w:sz w:val="17"/>
          <w:szCs w:val="17"/>
          <w:b w:val="1"/>
          <w:bCs w:val="1"/>
          <w:color w:val="auto"/>
        </w:rPr>
      </w:pPr>
    </w:p>
    <w:p>
      <w:pPr>
        <w:ind w:left="1560" w:hanging="301"/>
        <w:spacing w:after="0"/>
        <w:tabs>
          <w:tab w:leader="none" w:pos="1560" w:val="left"/>
        </w:tabs>
        <w:numPr>
          <w:ilvl w:val="1"/>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IgAN</w:t>
      </w:r>
      <w:r>
        <w:rPr>
          <w:rFonts w:ascii="Times New Roman" w:cs="Times New Roman" w:eastAsia="Times New Roman" w:hAnsi="Times New Roman"/>
          <w:sz w:val="17"/>
          <w:szCs w:val="17"/>
          <w:color w:val="auto"/>
        </w:rPr>
        <w:t>: In March 2026, our partner Vertex announced positive data from a pre-specified Week 36 interim analysis of the global Phase 3</w:t>
      </w:r>
    </w:p>
    <w:p>
      <w:pPr>
        <w:spacing w:after="0" w:line="54" w:lineRule="exact"/>
        <w:rPr>
          <w:rFonts w:ascii="Times New Roman" w:cs="Times New Roman" w:eastAsia="Times New Roman" w:hAnsi="Times New Roman"/>
          <w:sz w:val="17"/>
          <w:szCs w:val="17"/>
          <w:b w:val="1"/>
          <w:bCs w:val="1"/>
          <w:color w:val="auto"/>
        </w:rPr>
      </w:pPr>
    </w:p>
    <w:p>
      <w:pPr>
        <w:ind w:left="1580"/>
        <w:spacing w:after="0" w:line="29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RAINIER trial of pove in IgAN. The trial met its primary objective, with povetacicept-treated patients achieving a 52.0% reduction from baseline in 24-hour urine protein to creatinine ratio (UPCR), representing a statistically significant and clinically meaningful 49.8% UPCR</w:t>
      </w:r>
    </w:p>
    <w:p>
      <w:pPr>
        <w:spacing w:after="0" w:line="1" w:lineRule="exact"/>
        <w:rPr>
          <w:rFonts w:ascii="Times New Roman" w:cs="Times New Roman" w:eastAsia="Times New Roman" w:hAnsi="Times New Roman"/>
          <w:sz w:val="17"/>
          <w:szCs w:val="17"/>
          <w:b w:val="1"/>
          <w:bCs w:val="1"/>
          <w:color w:val="auto"/>
        </w:rPr>
      </w:pPr>
    </w:p>
    <w:p>
      <w:pPr>
        <w:ind w:left="1580" w:right="220"/>
        <w:spacing w:after="0" w:line="32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reduction versus placebo (p&lt;0.0001). Pove was generally safe and well tolerated. We participated in the global Phase 3 study in Greater China.</w:t>
      </w:r>
    </w:p>
    <w:p>
      <w:pPr>
        <w:spacing w:after="0" w:line="105" w:lineRule="exact"/>
        <w:rPr>
          <w:rFonts w:ascii="Times New Roman" w:cs="Times New Roman" w:eastAsia="Times New Roman" w:hAnsi="Times New Roman"/>
          <w:sz w:val="17"/>
          <w:szCs w:val="17"/>
          <w:b w:val="1"/>
          <w:bCs w:val="1"/>
          <w:color w:val="auto"/>
        </w:rPr>
      </w:pPr>
    </w:p>
    <w:p>
      <w:pPr>
        <w:ind w:left="1580" w:right="500" w:hanging="321"/>
        <w:spacing w:after="0" w:line="346" w:lineRule="auto"/>
        <w:tabs>
          <w:tab w:leader="none" w:pos="1576"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pMN</w:t>
      </w:r>
      <w:r>
        <w:rPr>
          <w:rFonts w:ascii="Times New Roman" w:cs="Times New Roman" w:eastAsia="Times New Roman" w:hAnsi="Times New Roman"/>
          <w:sz w:val="17"/>
          <w:szCs w:val="17"/>
          <w:color w:val="auto"/>
        </w:rPr>
        <w:t>: Our partner Vertex has completed enrollment in the Phase 2 portion of the global pivotal Phase 2/3 OLYMPUS study and has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initiated the Phase 3 portion. We participated in the global study in Greater China.</w:t>
      </w:r>
    </w:p>
    <w:p>
      <w:pPr>
        <w:spacing w:after="0" w:line="76" w:lineRule="exact"/>
        <w:rPr>
          <w:rFonts w:ascii="Times New Roman" w:cs="Times New Roman" w:eastAsia="Times New Roman" w:hAnsi="Times New Roman"/>
          <w:sz w:val="17"/>
          <w:szCs w:val="17"/>
          <w:color w:val="auto"/>
        </w:rPr>
      </w:pPr>
    </w:p>
    <w:p>
      <w:pPr>
        <w:ind w:left="940" w:hanging="308"/>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Elegrobart (Anti-IGF-1R, SC): </w:t>
      </w:r>
      <w:r>
        <w:rPr>
          <w:rFonts w:ascii="Times New Roman" w:cs="Times New Roman" w:eastAsia="Times New Roman" w:hAnsi="Times New Roman"/>
          <w:sz w:val="17"/>
          <w:szCs w:val="17"/>
          <w:color w:val="auto"/>
        </w:rPr>
        <w:t>Viridian Therapeutics announced positive topline data from REVEAL-1, elegrobart’s pivotal Phase 3 clinical trial</w:t>
      </w:r>
    </w:p>
    <w:p>
      <w:pPr>
        <w:spacing w:after="0" w:line="54" w:lineRule="exact"/>
        <w:rPr>
          <w:rFonts w:ascii="Times New Roman" w:cs="Times New Roman" w:eastAsia="Times New Roman" w:hAnsi="Times New Roman"/>
          <w:sz w:val="17"/>
          <w:szCs w:val="17"/>
          <w:color w:val="auto"/>
        </w:rPr>
      </w:pPr>
    </w:p>
    <w:p>
      <w:pPr>
        <w:ind w:left="940" w:right="40"/>
        <w:spacing w:after="0" w:line="31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active TED, and REVEAL-2, elegrobart’s pivotal Phase 3 clinical trial for chronic TED, in March 2026 and May 2026, respectively. Elegrobart was generally well tolerated across both studies. We have an exclusive license from Zenas BioPharma to develop and commercialize elegrobart in Greater China and are currently conducting a Phase 3 bridging study in the region.</w:t>
      </w:r>
    </w:p>
    <w:p>
      <w:pPr>
        <w:spacing w:after="0" w:line="101" w:lineRule="exact"/>
        <w:rPr>
          <w:rFonts w:ascii="Times New Roman" w:cs="Times New Roman" w:eastAsia="Times New Roman" w:hAnsi="Times New Roman"/>
          <w:sz w:val="17"/>
          <w:szCs w:val="17"/>
          <w:color w:val="auto"/>
        </w:rPr>
      </w:pPr>
    </w:p>
    <w:p>
      <w:pPr>
        <w:ind w:left="1560" w:hanging="301"/>
        <w:spacing w:after="0"/>
        <w:tabs>
          <w:tab w:leader="none" w:pos="156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REVEAL-1 in Active TED</w:t>
      </w:r>
      <w:r>
        <w:rPr>
          <w:rFonts w:ascii="Times New Roman" w:cs="Times New Roman" w:eastAsia="Times New Roman" w:hAnsi="Times New Roman"/>
          <w:sz w:val="17"/>
          <w:szCs w:val="17"/>
          <w:color w:val="auto"/>
        </w:rPr>
        <w:t>: The trial met its primary endpoint with a highly statistically significant treatment effect. Both elegrobart Q4W</w:t>
      </w:r>
    </w:p>
    <w:p>
      <w:pPr>
        <w:spacing w:after="0" w:line="54" w:lineRule="exact"/>
        <w:rPr>
          <w:rFonts w:ascii="Times New Roman" w:cs="Times New Roman" w:eastAsia="Times New Roman" w:hAnsi="Times New Roman"/>
          <w:sz w:val="17"/>
          <w:szCs w:val="17"/>
          <w:color w:val="auto"/>
        </w:rPr>
      </w:pPr>
    </w:p>
    <w:p>
      <w:pPr>
        <w:ind w:left="1580" w:right="60"/>
        <w:spacing w:after="0" w:line="31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 Q8W treatment arms showed rapid onset of treatment effect and achieved clinically meaningful 54% and 63% proptosis responder rates, respectively, versus 18% placebo at week 24. The Q4W treatment arm additionally provided meaningful diplopia benefit to patients with active TED.</w:t>
      </w:r>
    </w:p>
    <w:p>
      <w:pPr>
        <w:spacing w:after="0" w:line="101" w:lineRule="exact"/>
        <w:rPr>
          <w:rFonts w:ascii="Times New Roman" w:cs="Times New Roman" w:eastAsia="Times New Roman" w:hAnsi="Times New Roman"/>
          <w:sz w:val="17"/>
          <w:szCs w:val="17"/>
          <w:color w:val="auto"/>
        </w:rPr>
      </w:pPr>
    </w:p>
    <w:p>
      <w:pPr>
        <w:ind w:left="1560" w:hanging="301"/>
        <w:spacing w:after="0"/>
        <w:tabs>
          <w:tab w:leader="none" w:pos="156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REVEAL-2 in Chronic TED</w:t>
      </w:r>
      <w:r>
        <w:rPr>
          <w:rFonts w:ascii="Times New Roman" w:cs="Times New Roman" w:eastAsia="Times New Roman" w:hAnsi="Times New Roman"/>
          <w:sz w:val="17"/>
          <w:szCs w:val="17"/>
          <w:color w:val="auto"/>
        </w:rPr>
        <w:t>: The trial met its primary endpoint with a highly statistically significant treatment effect. Both elegrobart</w:t>
      </w:r>
    </w:p>
    <w:p>
      <w:pPr>
        <w:spacing w:after="0" w:line="54" w:lineRule="exact"/>
        <w:rPr>
          <w:rFonts w:ascii="Times New Roman" w:cs="Times New Roman" w:eastAsia="Times New Roman" w:hAnsi="Times New Roman"/>
          <w:sz w:val="17"/>
          <w:szCs w:val="17"/>
          <w:color w:val="auto"/>
        </w:rPr>
      </w:pPr>
    </w:p>
    <w:p>
      <w:pPr>
        <w:ind w:left="1580" w:right="140"/>
        <w:spacing w:after="0" w:line="31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Q4W and Q8W treatment arms achieved statistically significant and clinically meaningful 50% and 54% proptosis responder rates, respectively, versus 15% placebo at week 24. The Q4W treatment arm additionally provided meaningful diplopia benefit to patients with chronic TED.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Organizational Update</w:t>
      </w:r>
    </w:p>
    <w:p>
      <w:pPr>
        <w:spacing w:after="0" w:line="214" w:lineRule="exact"/>
        <w:rPr>
          <w:sz w:val="20"/>
          <w:szCs w:val="20"/>
          <w:color w:val="auto"/>
        </w:rPr>
      </w:pPr>
    </w:p>
    <w:p>
      <w:pPr>
        <w:jc w:val="both"/>
        <w:ind w:right="280" w:firstLine="470"/>
        <w:spacing w:after="0" w:line="316" w:lineRule="auto"/>
        <w:rPr>
          <w:sz w:val="20"/>
          <w:szCs w:val="20"/>
          <w:color w:val="auto"/>
        </w:rPr>
      </w:pPr>
      <w:r>
        <w:rPr>
          <w:rFonts w:ascii="Times New Roman" w:cs="Times New Roman" w:eastAsia="Times New Roman" w:hAnsi="Times New Roman"/>
          <w:sz w:val="17"/>
          <w:szCs w:val="17"/>
          <w:color w:val="auto"/>
        </w:rPr>
        <w:t>During the first quarter, we continued to strengthen our business through key additions to our global leadership team. For example, in April 2026, we appointed Yizhe Wang, Ph.D., as Operating Partner, to strengthen our commercial capabilities and execution. Dr. Wang brings extensive experience in global oncology and immunology commercial operations, having led commercial teams across China, the U.S., and the U.K. at GSK and Eli Lilly.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Factors Affecting Our Results of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Commercial Products</w:t>
      </w:r>
    </w:p>
    <w:p>
      <w:pPr>
        <w:spacing w:after="0" w:line="188" w:lineRule="exact"/>
        <w:rPr>
          <w:sz w:val="20"/>
          <w:szCs w:val="20"/>
          <w:color w:val="auto"/>
        </w:rPr>
      </w:pPr>
    </w:p>
    <w:p>
      <w:pPr>
        <w:ind w:right="160" w:firstLine="470"/>
        <w:spacing w:after="0" w:line="307" w:lineRule="auto"/>
        <w:rPr>
          <w:sz w:val="20"/>
          <w:szCs w:val="20"/>
          <w:color w:val="auto"/>
        </w:rPr>
      </w:pPr>
      <w:r>
        <w:rPr>
          <w:rFonts w:ascii="Times New Roman" w:cs="Times New Roman" w:eastAsia="Times New Roman" w:hAnsi="Times New Roman"/>
          <w:sz w:val="17"/>
          <w:szCs w:val="17"/>
          <w:color w:val="auto"/>
        </w:rPr>
        <w:t>We generate product revenue through the sale of our commercial products in Greater China, net of any related sales returns and rebates to distributors. Our cost of product revenue mainly consists of the costs of manufacturing ZEJULA and NUZYRA; costs of purchasing VYVGART / VYVGART Hytrulo, OPTUNE, QINLOCK, XACDURO, and AUGTYRO from our collaboration partners; any royalty fees incurred as a result of sales of our commercial products under our license and collaboration agreements; and amortization of capitalized post-approval milestone fees incurred under our license and</w:t>
      </w:r>
    </w:p>
    <w:p>
      <w:pPr>
        <w:spacing w:after="0" w:line="200" w:lineRule="exact"/>
        <w:rPr>
          <w:sz w:val="20"/>
          <w:szCs w:val="20"/>
          <w:color w:val="auto"/>
        </w:rPr>
      </w:pPr>
    </w:p>
    <w:p>
      <w:pPr>
        <w:spacing w:after="0" w:line="329"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04" w:right="339" w:bottom="1440" w:gutter="0" w:footer="0" w:header="0"/>
        </w:sectPr>
      </w:pPr>
    </w:p>
    <w:bookmarkStart w:id="24" w:name="page25"/>
    <w:bookmarkEnd w:id="24"/>
    <w:p>
      <w:pPr>
        <w:ind w:right="240"/>
        <w:spacing w:after="0" w:line="312" w:lineRule="auto"/>
        <w:rPr>
          <w:sz w:val="20"/>
          <w:szCs w:val="20"/>
          <w:color w:val="auto"/>
        </w:rPr>
      </w:pPr>
      <w:r>
        <w:rPr>
          <w:rFonts w:ascii="Times New Roman" w:cs="Times New Roman" w:eastAsia="Times New Roman" w:hAnsi="Times New Roman"/>
          <w:sz w:val="17"/>
          <w:szCs w:val="17"/>
          <w:color w:val="auto"/>
        </w:rPr>
        <w:t>collaboration agreements. We expect our product revenue to increase in coming years as we continue to focus on increasing patient access to our existing commercial products, such as through NRDL listing or increased supplemental insurance coverage in the private-pay market, and as we launch additional commercial products, if and when we obtain required regulatory approvals. We expect our cost of product revenue to increase as the volume of products sold increases.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188" w:lineRule="exact"/>
        <w:rPr>
          <w:sz w:val="20"/>
          <w:szCs w:val="20"/>
          <w:color w:val="auto"/>
        </w:rPr>
      </w:pPr>
    </w:p>
    <w:p>
      <w:pPr>
        <w:ind w:firstLine="470"/>
        <w:spacing w:after="0" w:line="311" w:lineRule="auto"/>
        <w:rPr>
          <w:sz w:val="20"/>
          <w:szCs w:val="20"/>
          <w:color w:val="auto"/>
        </w:rPr>
      </w:pPr>
      <w:r>
        <w:rPr>
          <w:rFonts w:ascii="Times New Roman" w:cs="Times New Roman" w:eastAsia="Times New Roman" w:hAnsi="Times New Roman"/>
          <w:sz w:val="17"/>
          <w:szCs w:val="17"/>
          <w:color w:val="auto"/>
        </w:rPr>
        <w:t>We believe our ability to successfully develop product candidates will be the primary factor affecting our long-term competitiveness, as well as our future growth and development. Developing high quality product candidates requires a significant investment of resources over a prolonged period of time. We are committed to advancing and expanding our pipeline of potential best-in-class and first-in-class products, such as through clinical and pre-clinical trials and business development activities. As a result, we expect to continue making significant investments in research and development, including internal discovery activities.</w:t>
      </w:r>
    </w:p>
    <w:p>
      <w:pPr>
        <w:spacing w:after="0" w:line="34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Elements of research and development expenditures primarily include:</w:t>
      </w:r>
    </w:p>
    <w:p>
      <w:pPr>
        <w:spacing w:after="0" w:line="170" w:lineRule="exact"/>
        <w:rPr>
          <w:sz w:val="20"/>
          <w:szCs w:val="20"/>
          <w:color w:val="auto"/>
        </w:rPr>
      </w:pPr>
    </w:p>
    <w:p>
      <w:pPr>
        <w:ind w:left="940" w:hanging="465"/>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payroll and other related costs of personnel engaged in research and development activities;</w:t>
      </w:r>
    </w:p>
    <w:p>
      <w:pPr>
        <w:spacing w:after="0" w:line="183" w:lineRule="exact"/>
        <w:rPr>
          <w:rFonts w:ascii="Times New Roman" w:cs="Times New Roman" w:eastAsia="Times New Roman" w:hAnsi="Times New Roman"/>
          <w:sz w:val="17"/>
          <w:szCs w:val="17"/>
          <w:color w:val="auto"/>
        </w:rPr>
      </w:pPr>
    </w:p>
    <w:p>
      <w:pPr>
        <w:ind w:left="940" w:hanging="465"/>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for exclusive development rights of products granted to the Company;</w:t>
      </w:r>
    </w:p>
    <w:p>
      <w:pPr>
        <w:spacing w:after="0" w:line="196" w:lineRule="exact"/>
        <w:rPr>
          <w:rFonts w:ascii="Times New Roman" w:cs="Times New Roman" w:eastAsia="Times New Roman" w:hAnsi="Times New Roman"/>
          <w:sz w:val="17"/>
          <w:szCs w:val="17"/>
          <w:color w:val="auto"/>
        </w:rPr>
      </w:pPr>
    </w:p>
    <w:p>
      <w:pPr>
        <w:ind w:left="940" w:right="340" w:hanging="465"/>
        <w:spacing w:after="0" w:line="343"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related to pre-clinical testing of the Company’s technologies and clinical trials, such as payments to CROs and CMOs, investigators, and clinical trial sites that conduct our clinical studies; and</w:t>
      </w:r>
    </w:p>
    <w:p>
      <w:pPr>
        <w:spacing w:after="0" w:line="94" w:lineRule="exact"/>
        <w:rPr>
          <w:rFonts w:ascii="Times New Roman" w:cs="Times New Roman" w:eastAsia="Times New Roman" w:hAnsi="Times New Roman"/>
          <w:sz w:val="17"/>
          <w:szCs w:val="17"/>
          <w:color w:val="auto"/>
        </w:rPr>
      </w:pPr>
    </w:p>
    <w:p>
      <w:pPr>
        <w:ind w:left="940" w:hanging="465"/>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to produce the product candidates, including raw materials and supplies, product testing, depreciation, and facility-related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Expenses</w:t>
      </w:r>
    </w:p>
    <w:p>
      <w:pPr>
        <w:spacing w:after="0" w:line="188" w:lineRule="exact"/>
        <w:rPr>
          <w:sz w:val="20"/>
          <w:szCs w:val="20"/>
          <w:color w:val="auto"/>
        </w:rPr>
      </w:pPr>
    </w:p>
    <w:p>
      <w:pPr>
        <w:ind w:firstLine="470"/>
        <w:spacing w:after="0" w:line="306" w:lineRule="auto"/>
        <w:rPr>
          <w:sz w:val="20"/>
          <w:szCs w:val="20"/>
          <w:color w:val="auto"/>
        </w:rPr>
      </w:pPr>
      <w:r>
        <w:rPr>
          <w:rFonts w:ascii="Times New Roman" w:cs="Times New Roman" w:eastAsia="Times New Roman" w:hAnsi="Times New Roman"/>
          <w:sz w:val="17"/>
          <w:szCs w:val="17"/>
          <w:color w:val="auto"/>
        </w:rPr>
        <w:t>Our selling, general, and administrative expenses consist primarily of personnel compensation and related costs, including share-based compensation for commercial and administrative personnel. Other selling, general, and administrative expenses include product distribution and promotion costs, and professional service fees for legal, intellectual property, auditing, and tax services as well as other direct and allocated expenses for rent and maintenance of facilities, insurance, and other supplies used in selling, general, and administrative activities. We expect these costs to continue to be significant to support sales of our commercial products and preparation to launch and subsequent sales of additional product candidates if and when approved.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Commercialize Our Product Candidates</w:t>
      </w:r>
    </w:p>
    <w:p>
      <w:pPr>
        <w:spacing w:after="0" w:line="188" w:lineRule="exact"/>
        <w:rPr>
          <w:sz w:val="20"/>
          <w:szCs w:val="20"/>
          <w:color w:val="auto"/>
        </w:rPr>
      </w:pPr>
    </w:p>
    <w:p>
      <w:pPr>
        <w:jc w:val="both"/>
        <w:ind w:right="120" w:firstLine="470"/>
        <w:spacing w:after="0" w:line="307" w:lineRule="auto"/>
        <w:rPr>
          <w:sz w:val="20"/>
          <w:szCs w:val="20"/>
          <w:color w:val="auto"/>
        </w:rPr>
      </w:pPr>
      <w:r>
        <w:rPr>
          <w:rFonts w:ascii="Times New Roman" w:cs="Times New Roman" w:eastAsia="Times New Roman" w:hAnsi="Times New Roman"/>
          <w:sz w:val="17"/>
          <w:szCs w:val="17"/>
          <w:color w:val="auto"/>
        </w:rPr>
        <w:t>We have multiple product candidates in late-stage clinical development and various others in clinical and pre-clinical development in Greater China and globally. Our ability to generate revenue from our product candidates is dependent on our receipt of regulatory approvals for and successful commercialization of such product candidates, which may not occur. Certain of our product candidates may require additional pre-clinical and/or clinical development, regulatory approvals in multiple jurisdictions, manufacturing supply, and significant marketing efforts before we generate any revenue from product sales.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License and Collaboration Arrangements</w:t>
      </w:r>
    </w:p>
    <w:p>
      <w:pPr>
        <w:spacing w:after="0" w:line="188" w:lineRule="exact"/>
        <w:rPr>
          <w:sz w:val="20"/>
          <w:szCs w:val="20"/>
          <w:color w:val="auto"/>
        </w:rPr>
      </w:pPr>
    </w:p>
    <w:p>
      <w:pPr>
        <w:ind w:firstLine="470"/>
        <w:spacing w:after="0" w:line="303" w:lineRule="auto"/>
        <w:rPr>
          <w:sz w:val="20"/>
          <w:szCs w:val="20"/>
          <w:color w:val="auto"/>
        </w:rPr>
      </w:pPr>
      <w:r>
        <w:rPr>
          <w:rFonts w:ascii="Times New Roman" w:cs="Times New Roman" w:eastAsia="Times New Roman" w:hAnsi="Times New Roman"/>
          <w:sz w:val="17"/>
          <w:szCs w:val="17"/>
          <w:color w:val="auto"/>
        </w:rPr>
        <w:t>Our results of operations have been, and will continue to be, affected by our license and collaboration agreements. In accordance with these agreements, we may be required to make upfront payments and milestone payments upon the achievement of certain development, regulatory, and sales-based milestones for the relevant products as well as certain royalties at tiered percentage rates based on annual net sales of the licensed products in the licensed territories. As of March 31, 2026, we may in the future be required to pay development and regulatory milestone payments of up to an additional aggregate amount of $207.0 million for our current clinical programs and $878.0 million for other programs. Such development and regulatory milestone payments are contingent on the progress of our product candidates prior to commercialization, and we see these payments as favorable because they indicate that product candidates are advancing. As of March 31, 2026, we also in the future may be required to pay sales-based milestone payments of up to an additional</w:t>
      </w:r>
    </w:p>
    <w:p>
      <w:pPr>
        <w:spacing w:after="0" w:line="200" w:lineRule="exact"/>
        <w:rPr>
          <w:sz w:val="20"/>
          <w:szCs w:val="20"/>
          <w:color w:val="auto"/>
        </w:rPr>
      </w:pPr>
    </w:p>
    <w:p>
      <w:pPr>
        <w:spacing w:after="0" w:line="33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206" w:right="379" w:bottom="1440" w:gutter="0" w:footer="0" w:header="0"/>
        </w:sectPr>
      </w:pPr>
    </w:p>
    <w:bookmarkStart w:id="25" w:name="page26"/>
    <w:bookmarkEnd w:id="25"/>
    <w:p>
      <w:pPr>
        <w:ind w:right="40"/>
        <w:spacing w:after="0" w:line="316" w:lineRule="auto"/>
        <w:rPr>
          <w:sz w:val="20"/>
          <w:szCs w:val="20"/>
          <w:color w:val="auto"/>
        </w:rPr>
      </w:pPr>
      <w:r>
        <w:rPr>
          <w:rFonts w:ascii="Times New Roman" w:cs="Times New Roman" w:eastAsia="Times New Roman" w:hAnsi="Times New Roman"/>
          <w:sz w:val="17"/>
          <w:szCs w:val="17"/>
          <w:color w:val="auto"/>
        </w:rPr>
        <w:t>aggregate amount of $3,078.0 million as well as certain royalties at tiered percentage rates on annual net sales. Such sales-based milestone and royalty payments are contingent on the performance of our commercial products, and we see these payments as favorable because they signify that a product is achieving higher sales levels.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In this section, we discuss our results of operations for the first quarter of 2026 compared to the same period in 2025.</w:t>
      </w:r>
    </w:p>
    <w:p>
      <w:pPr>
        <w:spacing w:after="0" w:line="1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presents our results of operations ($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340" w:type="dxa"/>
            <w:vAlign w:val="bottom"/>
          </w:tcPr>
          <w:p>
            <w:pPr>
              <w:spacing w:after="0"/>
              <w:rPr>
                <w:sz w:val="18"/>
                <w:szCs w:val="18"/>
                <w:color w:val="auto"/>
              </w:rPr>
            </w:pPr>
          </w:p>
        </w:tc>
        <w:tc>
          <w:tcPr>
            <w:tcW w:w="244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620" w:type="dxa"/>
            <w:vAlign w:val="bottom"/>
            <w:gridSpan w:val="3"/>
          </w:tcPr>
          <w:p>
            <w:pPr>
              <w:ind w:left="9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Pr>
          <w:p>
            <w:pPr>
              <w:spacing w:after="0"/>
              <w:rPr>
                <w:sz w:val="18"/>
                <w:szCs w:val="18"/>
                <w:color w:val="auto"/>
              </w:rPr>
            </w:pPr>
          </w:p>
        </w:tc>
      </w:tr>
      <w:tr>
        <w:trPr>
          <w:trHeight w:val="204"/>
        </w:trPr>
        <w:tc>
          <w:tcPr>
            <w:tcW w:w="634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91"/>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06"/>
        </w:trPr>
        <w:tc>
          <w:tcPr>
            <w:tcW w:w="6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Product revenue, net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95,556</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105,650</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(10,094)</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2"/>
        </w:trPr>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Collaboration revenue</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4,055</w:t>
            </w:r>
          </w:p>
        </w:tc>
        <w:tc>
          <w:tcPr>
            <w:tcW w:w="1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w:t>
            </w:r>
          </w:p>
        </w:tc>
        <w:tc>
          <w:tcPr>
            <w:tcW w:w="1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3,218</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384 %</w:t>
            </w:r>
          </w:p>
        </w:tc>
      </w:tr>
      <w:tr>
        <w:trPr>
          <w:trHeight w:val="199"/>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99,611</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106,487</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(6,876)</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6"/>
        </w:trPr>
        <w:tc>
          <w:tcPr>
            <w:tcW w:w="6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product revenue</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(38,315)</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(38,452)</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2"/>
        </w:trPr>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Cost of collaboration revenue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206"/>
        </w:trPr>
        <w:tc>
          <w:tcPr>
            <w:tcW w:w="6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(65,591)</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(60,729)</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(4,862)</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212"/>
        </w:trPr>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(65,070)</w:t>
            </w:r>
          </w:p>
        </w:tc>
        <w:tc>
          <w:tcPr>
            <w:tcW w:w="1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(63,422)</w:t>
            </w:r>
          </w:p>
        </w:tc>
        <w:tc>
          <w:tcPr>
            <w:tcW w:w="1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199"/>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(69,385)</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(56,311)</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(13,074)</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r>
      <w:tr>
        <w:trPr>
          <w:trHeight w:val="212"/>
        </w:trPr>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income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6,447</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8,606</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06"/>
        </w:trPr>
        <w:tc>
          <w:tcPr>
            <w:tcW w:w="6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expenses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r>
      <w:tr>
        <w:trPr>
          <w:trHeight w:val="212"/>
        </w:trPr>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Foreign currency gains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14,837</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2179 %</w:t>
            </w:r>
          </w:p>
        </w:tc>
      </w:tr>
      <w:tr>
        <w:trPr>
          <w:trHeight w:val="206"/>
        </w:trPr>
        <w:tc>
          <w:tcPr>
            <w:tcW w:w="6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05"/>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(49,576)</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(48,438)</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06"/>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1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37"/>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(51,016)</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(48,438)</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(2,578)</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Revenue, Net</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presents net revenue by commercial program ($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340" w:type="dxa"/>
            <w:vAlign w:val="bottom"/>
          </w:tcPr>
          <w:p>
            <w:pPr>
              <w:spacing w:after="0"/>
              <w:rPr>
                <w:sz w:val="18"/>
                <w:szCs w:val="18"/>
                <w:color w:val="auto"/>
              </w:rPr>
            </w:pPr>
          </w:p>
        </w:tc>
        <w:tc>
          <w:tcPr>
            <w:tcW w:w="244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620" w:type="dxa"/>
            <w:vAlign w:val="bottom"/>
            <w:gridSpan w:val="3"/>
          </w:tcPr>
          <w:p>
            <w:pPr>
              <w:ind w:left="9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Pr>
          <w:p>
            <w:pPr>
              <w:spacing w:after="0"/>
              <w:rPr>
                <w:sz w:val="18"/>
                <w:szCs w:val="18"/>
                <w:color w:val="auto"/>
              </w:rPr>
            </w:pPr>
          </w:p>
        </w:tc>
      </w:tr>
      <w:tr>
        <w:trPr>
          <w:trHeight w:val="204"/>
        </w:trPr>
        <w:tc>
          <w:tcPr>
            <w:tcW w:w="634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ZEJULA</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49,529</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(19,562)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45"/>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VYVGART / VYVGART Hytrulo</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17,551</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18,105</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51"/>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NUZYRA</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16,262</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15,118</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245"/>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OPTUNE</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12,070</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11,363</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r>
      <w:tr>
        <w:trPr>
          <w:trHeight w:val="251"/>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QINLOCK</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8,985</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8,509</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r>
      <w:tr>
        <w:trPr>
          <w:trHeight w:val="248"/>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XACDURO</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8,572</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1,117</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7,455</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667 %</w:t>
            </w:r>
          </w:p>
        </w:tc>
      </w:tr>
      <w:tr>
        <w:trPr>
          <w:trHeight w:val="248"/>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AUGTYRO</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1,626</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45"/>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26 %</w:t>
            </w:r>
          </w:p>
        </w:tc>
      </w:tr>
      <w:tr>
        <w:trPr>
          <w:trHeight w:val="253"/>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product revenue, net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95,556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105,650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(10,094)</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left="460" w:hanging="455"/>
        <w:spacing w:after="0"/>
        <w:tabs>
          <w:tab w:leader="none" w:pos="4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includes product candidates sold in patient programs prior to commercialization.</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14" w:lineRule="exact"/>
        <w:rPr>
          <w:rFonts w:ascii="Times New Roman" w:cs="Times New Roman" w:eastAsia="Times New Roman" w:hAnsi="Times New Roman"/>
          <w:sz w:val="17"/>
          <w:szCs w:val="17"/>
          <w:color w:val="auto"/>
        </w:rPr>
      </w:pPr>
    </w:p>
    <w:p>
      <w:pPr>
        <w:ind w:left="57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26" w:name="page27"/>
    <w:bookmarkEnd w:id="26"/>
    <w:p>
      <w:pPr>
        <w:ind w:right="340" w:firstLine="470"/>
        <w:spacing w:after="0" w:line="343" w:lineRule="auto"/>
        <w:rPr>
          <w:sz w:val="20"/>
          <w:szCs w:val="20"/>
          <w:color w:val="auto"/>
        </w:rPr>
      </w:pPr>
      <w:r>
        <w:rPr>
          <w:rFonts w:ascii="Times New Roman" w:cs="Times New Roman" w:eastAsia="Times New Roman" w:hAnsi="Times New Roman"/>
          <w:sz w:val="17"/>
          <w:szCs w:val="17"/>
          <w:color w:val="auto"/>
        </w:rPr>
        <w:t>Our product revenue is primarily derived from the sales of our commercial products in mainland China, net of sales returns and rebates to distributors with respect to the sales of these products.</w:t>
      </w:r>
    </w:p>
    <w:p>
      <w:pPr>
        <w:spacing w:after="0" w:line="82" w:lineRule="exact"/>
        <w:rPr>
          <w:sz w:val="20"/>
          <w:szCs w:val="20"/>
          <w:color w:val="auto"/>
        </w:rPr>
      </w:pPr>
    </w:p>
    <w:p>
      <w:pPr>
        <w:ind w:right="120" w:firstLine="470"/>
        <w:spacing w:after="0" w:line="312" w:lineRule="auto"/>
        <w:rPr>
          <w:sz w:val="20"/>
          <w:szCs w:val="20"/>
          <w:color w:val="auto"/>
        </w:rPr>
      </w:pPr>
      <w:r>
        <w:rPr>
          <w:rFonts w:ascii="Times New Roman" w:cs="Times New Roman" w:eastAsia="Times New Roman" w:hAnsi="Times New Roman"/>
          <w:sz w:val="17"/>
          <w:szCs w:val="17"/>
          <w:color w:val="auto"/>
        </w:rPr>
        <w:t>Our net product revenue decreased by $10.1 million in the first quarter of 2026, primarily due to decreased sales for ZEJULA, due to a shift in hospital utilization patterns following volume-based procurement for generic olaparib, and VYVGART, primarily due to a pricing adjustment related to NRDL renewal. These decreases were partially offset by increased sales for XACDURO, driven by strong patient demand and expanding hospital adoption but partially constrained by supply limitations, and increased sales for NUZYRA, supported by increased market coverage and penetration.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Product Revenue</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Cost of product revenue remained flat in the first quarter of 2026, primarily due to decreased sales and a shift in product mix.</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Collaboration Revenue and Cost of Collaboration Revenue</w:t>
      </w:r>
    </w:p>
    <w:p>
      <w:pPr>
        <w:spacing w:after="0" w:line="201" w:lineRule="exact"/>
        <w:rPr>
          <w:sz w:val="20"/>
          <w:szCs w:val="20"/>
          <w:color w:val="auto"/>
        </w:rPr>
      </w:pPr>
    </w:p>
    <w:p>
      <w:pPr>
        <w:ind w:right="260" w:firstLine="470"/>
        <w:spacing w:after="0" w:line="343" w:lineRule="auto"/>
        <w:rPr>
          <w:sz w:val="20"/>
          <w:szCs w:val="20"/>
          <w:color w:val="auto"/>
        </w:rPr>
      </w:pPr>
      <w:r>
        <w:rPr>
          <w:rFonts w:ascii="Times New Roman" w:cs="Times New Roman" w:eastAsia="Times New Roman" w:hAnsi="Times New Roman"/>
          <w:sz w:val="17"/>
          <w:szCs w:val="17"/>
          <w:color w:val="auto"/>
        </w:rPr>
        <w:t>In the first quarter of 2026, collaboration revenue increased by $3.2 million mainly related to a regional license and collaboration arrangement. Cost of collaboration revenue was insignificant in the first quarter of 2026 and 2025.</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presents the components of our research and development expenses ($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340" w:type="dxa"/>
            <w:vAlign w:val="bottom"/>
          </w:tcPr>
          <w:p>
            <w:pPr>
              <w:spacing w:after="0"/>
              <w:rPr>
                <w:sz w:val="18"/>
                <w:szCs w:val="18"/>
                <w:color w:val="auto"/>
              </w:rPr>
            </w:pPr>
          </w:p>
        </w:tc>
        <w:tc>
          <w:tcPr>
            <w:tcW w:w="244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20" w:type="dxa"/>
            <w:vAlign w:val="bottom"/>
          </w:tcPr>
          <w:p>
            <w:pPr>
              <w:spacing w:after="0"/>
              <w:rPr>
                <w:sz w:val="18"/>
                <w:szCs w:val="18"/>
                <w:color w:val="auto"/>
              </w:rPr>
            </w:pPr>
          </w:p>
        </w:tc>
        <w:tc>
          <w:tcPr>
            <w:tcW w:w="1000" w:type="dxa"/>
            <w:vAlign w:val="bottom"/>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Pr>
          <w:p>
            <w:pPr>
              <w:spacing w:after="0"/>
              <w:rPr>
                <w:sz w:val="18"/>
                <w:szCs w:val="18"/>
                <w:color w:val="auto"/>
              </w:rPr>
            </w:pPr>
          </w:p>
        </w:tc>
      </w:tr>
      <w:tr>
        <w:trPr>
          <w:trHeight w:val="204"/>
        </w:trPr>
        <w:tc>
          <w:tcPr>
            <w:tcW w:w="634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4"/>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Personnel compensation and related costs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18,470</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24,079</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(5,609)</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22"/>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Licensing fees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2,003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2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CROs/CMOs/Investigators expenses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9,710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99 %</w:t>
            </w:r>
          </w:p>
        </w:tc>
      </w:tr>
      <w:tr>
        <w:trPr>
          <w:trHeight w:val="222"/>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costs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5,581</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6,823</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(1,242)</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27"/>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65,591</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60,729</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4,862</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Research and development expenses increased by $4.9 million in the first quarter of 2026, primarily due to:</w:t>
      </w:r>
    </w:p>
    <w:p>
      <w:pPr>
        <w:spacing w:after="0" w:line="197" w:lineRule="exact"/>
        <w:rPr>
          <w:sz w:val="20"/>
          <w:szCs w:val="20"/>
          <w:color w:val="auto"/>
        </w:rPr>
      </w:pPr>
    </w:p>
    <w:p>
      <w:pPr>
        <w:ind w:left="940" w:hanging="465"/>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of $8.5 million in CROs/CMOs/Investigators expenses and other costs related to ongoing clinical trials; and</w:t>
      </w:r>
    </w:p>
    <w:p>
      <w:pPr>
        <w:spacing w:after="0" w:line="209" w:lineRule="exact"/>
        <w:rPr>
          <w:rFonts w:ascii="Times New Roman" w:cs="Times New Roman" w:eastAsia="Times New Roman" w:hAnsi="Times New Roman"/>
          <w:sz w:val="17"/>
          <w:szCs w:val="17"/>
          <w:color w:val="auto"/>
        </w:rPr>
      </w:pPr>
    </w:p>
    <w:p>
      <w:pPr>
        <w:ind w:left="940" w:right="140" w:hanging="465"/>
        <w:spacing w:after="0" w:line="327" w:lineRule="auto"/>
        <w:tabs>
          <w:tab w:leader="none" w:pos="9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of $2.0 million in licensing fees in connection with increased upfront and milestone fees for our license and collaboration agreements; partially offset by</w:t>
      </w:r>
    </w:p>
    <w:p>
      <w:pPr>
        <w:spacing w:after="0" w:line="107" w:lineRule="exact"/>
        <w:rPr>
          <w:rFonts w:ascii="Times New Roman" w:cs="Times New Roman" w:eastAsia="Times New Roman" w:hAnsi="Times New Roman"/>
          <w:sz w:val="17"/>
          <w:szCs w:val="17"/>
          <w:color w:val="auto"/>
        </w:rPr>
      </w:pPr>
    </w:p>
    <w:p>
      <w:pPr>
        <w:ind w:left="940" w:hanging="465"/>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of $5.6 million in personnel compensation and related costs primarily driven by our resource prioritization and efficiency efforts.</w:t>
      </w:r>
    </w:p>
    <w:p>
      <w:pPr>
        <w:spacing w:after="0" w:line="24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presents our research and development expenses by program ($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340" w:type="dxa"/>
            <w:vAlign w:val="bottom"/>
          </w:tcPr>
          <w:p>
            <w:pPr>
              <w:spacing w:after="0"/>
              <w:rPr>
                <w:sz w:val="18"/>
                <w:szCs w:val="18"/>
                <w:color w:val="auto"/>
              </w:rPr>
            </w:pPr>
          </w:p>
        </w:tc>
        <w:tc>
          <w:tcPr>
            <w:tcW w:w="244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20" w:type="dxa"/>
            <w:vAlign w:val="bottom"/>
          </w:tcPr>
          <w:p>
            <w:pPr>
              <w:spacing w:after="0"/>
              <w:rPr>
                <w:sz w:val="18"/>
                <w:szCs w:val="18"/>
                <w:color w:val="auto"/>
              </w:rPr>
            </w:pPr>
          </w:p>
        </w:tc>
        <w:tc>
          <w:tcPr>
            <w:tcW w:w="1000" w:type="dxa"/>
            <w:vAlign w:val="bottom"/>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Pr>
          <w:p>
            <w:pPr>
              <w:spacing w:after="0"/>
              <w:rPr>
                <w:sz w:val="18"/>
                <w:szCs w:val="18"/>
                <w:color w:val="auto"/>
              </w:rPr>
            </w:pPr>
          </w:p>
        </w:tc>
      </w:tr>
      <w:tr>
        <w:trPr>
          <w:trHeight w:val="204"/>
        </w:trPr>
        <w:tc>
          <w:tcPr>
            <w:tcW w:w="634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4"/>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Clinical programs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31,090</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28,092</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2,998</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222"/>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Pre-Clinical programs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11,716</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8,402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254 %</w:t>
            </w:r>
          </w:p>
        </w:tc>
      </w:tr>
      <w:tr>
        <w:trPr>
          <w:trHeight w:val="222"/>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Unallocated research and development expenses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22,785</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29,323</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(6,538)</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2"/>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65,591</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60,729</w:t>
            </w:r>
          </w:p>
        </w:tc>
        <w:tc>
          <w:tcPr>
            <w:tcW w:w="10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4,862</w:t>
            </w: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8 %</w:t>
            </w:r>
          </w:p>
        </w:tc>
      </w:tr>
      <w:tr>
        <w:trPr>
          <w:trHeight w:val="20"/>
        </w:trPr>
        <w:tc>
          <w:tcPr>
            <w:tcW w:w="6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ind w:right="600" w:firstLine="470"/>
        <w:spacing w:after="0" w:line="327" w:lineRule="auto"/>
        <w:rPr>
          <w:sz w:val="20"/>
          <w:szCs w:val="20"/>
          <w:color w:val="auto"/>
        </w:rPr>
      </w:pPr>
      <w:r>
        <w:rPr>
          <w:rFonts w:ascii="Times New Roman" w:cs="Times New Roman" w:eastAsia="Times New Roman" w:hAnsi="Times New Roman"/>
          <w:sz w:val="17"/>
          <w:szCs w:val="17"/>
          <w:color w:val="auto"/>
        </w:rPr>
        <w:t>Research and development expenses attributable to clinical programs increased by $3.0 million in the first quarter of 2026, primarily driven by an increase in trial costs based on the progress of our studies. Research and development</w:t>
      </w:r>
    </w:p>
    <w:p>
      <w:pPr>
        <w:spacing w:after="0" w:line="200" w:lineRule="exact"/>
        <w:rPr>
          <w:sz w:val="20"/>
          <w:szCs w:val="20"/>
          <w:color w:val="auto"/>
        </w:rPr>
      </w:pPr>
    </w:p>
    <w:p>
      <w:pPr>
        <w:spacing w:after="0" w:line="31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27" w:name="page28"/>
    <w:bookmarkEnd w:id="27"/>
    <w:p>
      <w:pPr>
        <w:ind w:right="500"/>
        <w:spacing w:after="0" w:line="343" w:lineRule="auto"/>
        <w:rPr>
          <w:sz w:val="20"/>
          <w:szCs w:val="20"/>
          <w:color w:val="auto"/>
        </w:rPr>
      </w:pPr>
      <w:r>
        <w:rPr>
          <w:rFonts w:ascii="Times New Roman" w:cs="Times New Roman" w:eastAsia="Times New Roman" w:hAnsi="Times New Roman"/>
          <w:sz w:val="17"/>
          <w:szCs w:val="17"/>
          <w:color w:val="auto"/>
        </w:rPr>
        <w:t>expenses attributable to pre-clinical programs increased by $8.4 million, primarily driven by an increase in licensing fees for our license and collaboration agreements.</w:t>
      </w:r>
    </w:p>
    <w:p>
      <w:pPr>
        <w:spacing w:after="0" w:line="82" w:lineRule="exact"/>
        <w:rPr>
          <w:sz w:val="20"/>
          <w:szCs w:val="20"/>
          <w:color w:val="auto"/>
        </w:rPr>
      </w:pPr>
    </w:p>
    <w:p>
      <w:pPr>
        <w:ind w:right="40" w:firstLine="470"/>
        <w:spacing w:after="0" w:line="343" w:lineRule="auto"/>
        <w:rPr>
          <w:sz w:val="20"/>
          <w:szCs w:val="20"/>
          <w:color w:val="auto"/>
        </w:rPr>
      </w:pPr>
      <w:r>
        <w:rPr>
          <w:rFonts w:ascii="Times New Roman" w:cs="Times New Roman" w:eastAsia="Times New Roman" w:hAnsi="Times New Roman"/>
          <w:sz w:val="17"/>
          <w:szCs w:val="17"/>
          <w:color w:val="auto"/>
        </w:rPr>
        <w:t>Although we manage our external research and development expenses by program, we do not allocate our internal research and development expenses by program because our employees and internal resources may be engaged in projects for multiple programs at any given time.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presents our selling, general, and administrative expenses by category ($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340" w:type="dxa"/>
            <w:vAlign w:val="bottom"/>
          </w:tcPr>
          <w:p>
            <w:pPr>
              <w:spacing w:after="0"/>
              <w:rPr>
                <w:sz w:val="18"/>
                <w:szCs w:val="18"/>
                <w:color w:val="auto"/>
              </w:rPr>
            </w:pPr>
          </w:p>
        </w:tc>
        <w:tc>
          <w:tcPr>
            <w:tcW w:w="244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40" w:type="dxa"/>
            <w:vAlign w:val="bottom"/>
          </w:tcPr>
          <w:p>
            <w:pPr>
              <w:spacing w:after="0"/>
              <w:rPr>
                <w:sz w:val="18"/>
                <w:szCs w:val="18"/>
                <w:color w:val="auto"/>
              </w:rPr>
            </w:pPr>
          </w:p>
        </w:tc>
        <w:tc>
          <w:tcPr>
            <w:tcW w:w="980" w:type="dxa"/>
            <w:vAlign w:val="bottom"/>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Pr>
          <w:p>
            <w:pPr>
              <w:spacing w:after="0"/>
              <w:rPr>
                <w:sz w:val="18"/>
                <w:szCs w:val="18"/>
                <w:color w:val="auto"/>
              </w:rPr>
            </w:pPr>
          </w:p>
        </w:tc>
      </w:tr>
      <w:tr>
        <w:trPr>
          <w:trHeight w:val="204"/>
        </w:trPr>
        <w:tc>
          <w:tcPr>
            <w:tcW w:w="634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4"/>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Personnel compensation and related costs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41,060</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40,643</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r>
      <w:tr>
        <w:trPr>
          <w:trHeight w:val="206"/>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costs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24,010</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22,779</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5 %</w:t>
            </w:r>
          </w:p>
        </w:tc>
      </w:tr>
      <w:tr>
        <w:trPr>
          <w:trHeight w:val="230"/>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65,070</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63,422</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Selling, general, and administrative expenses increased by $1.6 million in the first quarter of 2026, primarily driven by higher general selling expenses.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Income</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Interest income decreased by $2.2 million in the first quarter of 2026, primarily due to decreased interest rates.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Interest expense increased by $0.5 million in the first quarter of 2026, primarily due to higher levels of short-term debt.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Gains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Foreign currency gains increased by $14.8 million in the first quarter of 2026, primarily due to appreciation of the RMB against the U.S. dollar.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Income (Expense), Net</w:t>
      </w:r>
    </w:p>
    <w:p>
      <w:pPr>
        <w:spacing w:after="0" w:line="186" w:lineRule="exact"/>
        <w:rPr>
          <w:sz w:val="20"/>
          <w:szCs w:val="20"/>
          <w:color w:val="auto"/>
        </w:rPr>
      </w:pPr>
    </w:p>
    <w:p>
      <w:pPr>
        <w:jc w:val="both"/>
        <w:ind w:firstLine="470"/>
        <w:spacing w:after="0" w:line="327" w:lineRule="auto"/>
        <w:rPr>
          <w:sz w:val="20"/>
          <w:szCs w:val="20"/>
          <w:color w:val="auto"/>
        </w:rPr>
      </w:pPr>
      <w:r>
        <w:rPr>
          <w:rFonts w:ascii="Times New Roman" w:cs="Times New Roman" w:eastAsia="Times New Roman" w:hAnsi="Times New Roman"/>
          <w:sz w:val="17"/>
          <w:szCs w:val="17"/>
          <w:color w:val="auto"/>
        </w:rPr>
        <w:t>Other income, net was $0.2 million in the first quarter of 2026, compared to other expense, net of $0.2 million in the first quarter of 2025, primarily due to a decrease in equity investment loss, partially offset by a decrease in other miscellaneous gain.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Expense</w:t>
      </w:r>
    </w:p>
    <w:p>
      <w:pPr>
        <w:spacing w:after="0" w:line="188" w:lineRule="exact"/>
        <w:rPr>
          <w:sz w:val="20"/>
          <w:szCs w:val="20"/>
          <w:color w:val="auto"/>
        </w:rPr>
      </w:pPr>
    </w:p>
    <w:p>
      <w:pPr>
        <w:jc w:val="both"/>
        <w:ind w:firstLine="470"/>
        <w:spacing w:after="0" w:line="327" w:lineRule="auto"/>
        <w:rPr>
          <w:sz w:val="20"/>
          <w:szCs w:val="20"/>
          <w:color w:val="auto"/>
        </w:rPr>
      </w:pPr>
      <w:r>
        <w:rPr>
          <w:rFonts w:ascii="Times New Roman" w:cs="Times New Roman" w:eastAsia="Times New Roman" w:hAnsi="Times New Roman"/>
          <w:sz w:val="17"/>
          <w:szCs w:val="17"/>
          <w:color w:val="auto"/>
        </w:rPr>
        <w:t>Income tax expense was $1.4 million in the first quarter of 2026 attributable to current taxable income in certain Chinese entities. Income tax expense was nil in the first quarter of 2025 as the Company’s subsidiaries were in cumulative loss positions.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Loss</w:t>
      </w:r>
    </w:p>
    <w:p>
      <w:pPr>
        <w:spacing w:after="0" w:line="188" w:lineRule="exact"/>
        <w:rPr>
          <w:sz w:val="20"/>
          <w:szCs w:val="20"/>
          <w:color w:val="auto"/>
        </w:rPr>
      </w:pPr>
    </w:p>
    <w:p>
      <w:pPr>
        <w:ind w:right="540" w:firstLine="470"/>
        <w:spacing w:after="0" w:line="327" w:lineRule="auto"/>
        <w:rPr>
          <w:sz w:val="20"/>
          <w:szCs w:val="20"/>
          <w:color w:val="auto"/>
        </w:rPr>
      </w:pPr>
      <w:r>
        <w:rPr>
          <w:rFonts w:ascii="Times New Roman" w:cs="Times New Roman" w:eastAsia="Times New Roman" w:hAnsi="Times New Roman"/>
          <w:sz w:val="17"/>
          <w:szCs w:val="17"/>
          <w:color w:val="auto"/>
        </w:rPr>
        <w:t>Net loss was $51.0 million in the first quarter of 2026, or a loss per ordinary share attributable to stockholders of $0.05 (or loss per ADS of $0.46), compared to a net loss of $48.4 million in the first quarter of 2025, or a loss per ordinary share of $0.04 (or loss per ADS of $0.45).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Significant Judgments and Estimates</w:t>
      </w:r>
    </w:p>
    <w:p>
      <w:pPr>
        <w:spacing w:after="0" w:line="186" w:lineRule="exact"/>
        <w:rPr>
          <w:sz w:val="20"/>
          <w:szCs w:val="20"/>
          <w:color w:val="auto"/>
        </w:rPr>
      </w:pPr>
    </w:p>
    <w:p>
      <w:pPr>
        <w:jc w:val="both"/>
        <w:ind w:right="280" w:firstLine="470"/>
        <w:spacing w:after="0" w:line="316" w:lineRule="auto"/>
        <w:rPr>
          <w:sz w:val="20"/>
          <w:szCs w:val="20"/>
          <w:color w:val="auto"/>
        </w:rPr>
      </w:pPr>
      <w:r>
        <w:rPr>
          <w:rFonts w:ascii="Times New Roman" w:cs="Times New Roman" w:eastAsia="Times New Roman" w:hAnsi="Times New Roman"/>
          <w:sz w:val="17"/>
          <w:szCs w:val="17"/>
          <w:color w:val="auto"/>
        </w:rPr>
        <w:t>We prepare our financial statements in conformity with U.S. GAAP, which requires management to make judgments, estimates, and assumptions that affect the reported amounts of assets, liabilities, revenues, expenses, and related disclosures. Some of those judgments can be subjective and complex. Actual results could differ from our estimates.</w:t>
      </w:r>
    </w:p>
    <w:p>
      <w:pPr>
        <w:spacing w:after="0" w:line="200" w:lineRule="exact"/>
        <w:rPr>
          <w:sz w:val="20"/>
          <w:szCs w:val="20"/>
          <w:color w:val="auto"/>
        </w:rPr>
      </w:pPr>
    </w:p>
    <w:p>
      <w:pPr>
        <w:spacing w:after="0" w:line="32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28" w:name="page29"/>
    <w:bookmarkEnd w:id="28"/>
    <w:p>
      <w:pPr>
        <w:jc w:val="both"/>
        <w:ind w:right="340" w:firstLine="470"/>
        <w:spacing w:after="0" w:line="343" w:lineRule="auto"/>
        <w:rPr>
          <w:sz w:val="20"/>
          <w:szCs w:val="20"/>
          <w:color w:val="auto"/>
        </w:rPr>
      </w:pPr>
      <w:r>
        <w:rPr>
          <w:rFonts w:ascii="Times New Roman" w:cs="Times New Roman" w:eastAsia="Times New Roman" w:hAnsi="Times New Roman"/>
          <w:sz w:val="17"/>
          <w:szCs w:val="17"/>
          <w:color w:val="auto"/>
        </w:rPr>
        <w:t>Our most critical accounting policies and estimates, including those that require the most difficult, subjective, or complex judgments and are the most inherently uncertain, are described below.</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88" w:lineRule="exact"/>
        <w:rPr>
          <w:sz w:val="20"/>
          <w:szCs w:val="20"/>
          <w:color w:val="auto"/>
        </w:rPr>
      </w:pPr>
    </w:p>
    <w:p>
      <w:pPr>
        <w:ind w:right="120" w:firstLine="470"/>
        <w:spacing w:after="0" w:line="343" w:lineRule="auto"/>
        <w:rPr>
          <w:sz w:val="20"/>
          <w:szCs w:val="20"/>
          <w:color w:val="auto"/>
        </w:rPr>
      </w:pPr>
      <w:r>
        <w:rPr>
          <w:rFonts w:ascii="Times New Roman" w:cs="Times New Roman" w:eastAsia="Times New Roman" w:hAnsi="Times New Roman"/>
          <w:sz w:val="17"/>
          <w:szCs w:val="17"/>
          <w:color w:val="auto"/>
        </w:rPr>
        <w:t>We sell our products to distributors (our customers), who ultimately sell the products to healthcare providers, primarily in mainland China. We recognize revenue when the performance obligations are satisfied upon the product’s delivery to distributors.</w:t>
      </w:r>
    </w:p>
    <w:p>
      <w:pPr>
        <w:spacing w:after="0" w:line="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We offer rebates to our distributors to compensate the distributors consistent with pharmaceutical industry practices. We are required to establish a</w:t>
      </w:r>
    </w:p>
    <w:p>
      <w:pPr>
        <w:spacing w:after="0" w:line="5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7"/>
          <w:szCs w:val="17"/>
          <w:color w:val="auto"/>
        </w:rPr>
        <w:t>provision for rebates in the same period the related product sales are recognized. The estimated amount of rebates, if any, is recorded as a reduction of revenue.</w:t>
      </w:r>
    </w:p>
    <w:p>
      <w:pPr>
        <w:spacing w:after="0" w:line="197" w:lineRule="exact"/>
        <w:rPr>
          <w:sz w:val="20"/>
          <w:szCs w:val="20"/>
          <w:color w:val="auto"/>
        </w:rPr>
      </w:pPr>
    </w:p>
    <w:p>
      <w:pPr>
        <w:jc w:val="both"/>
        <w:ind w:right="340" w:firstLine="470"/>
        <w:spacing w:after="0" w:line="316" w:lineRule="auto"/>
        <w:rPr>
          <w:sz w:val="20"/>
          <w:szCs w:val="20"/>
          <w:color w:val="auto"/>
        </w:rPr>
      </w:pPr>
      <w:r>
        <w:rPr>
          <w:rFonts w:ascii="Times New Roman" w:cs="Times New Roman" w:eastAsia="Times New Roman" w:hAnsi="Times New Roman"/>
          <w:sz w:val="17"/>
          <w:szCs w:val="17"/>
          <w:color w:val="auto"/>
        </w:rPr>
        <w:t>Significant judgments are required in making these estimates. In determining the appropriate accrual amount, we consider our contracted rates, sales volumes, levels of distributor inventories, and historical experiences and trends. If actual results vary from our estimates or our expectations change, we will adjust these estimates accordingly, which would affect net product revenue and earnings in the period such variances become expected or known.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We have a significant amount of research and development expenses, including with respect to pre-clinical and clinical trials for our product candidates.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Such costs are expensed as incurred when they have no alternative future uses.</w:t>
      </w:r>
    </w:p>
    <w:p>
      <w:pPr>
        <w:spacing w:after="0" w:line="210" w:lineRule="exact"/>
        <w:rPr>
          <w:sz w:val="20"/>
          <w:szCs w:val="20"/>
          <w:color w:val="auto"/>
        </w:rPr>
      </w:pPr>
    </w:p>
    <w:p>
      <w:pPr>
        <w:ind w:right="340" w:firstLine="470"/>
        <w:spacing w:after="0" w:line="316" w:lineRule="auto"/>
        <w:rPr>
          <w:sz w:val="20"/>
          <w:szCs w:val="20"/>
          <w:color w:val="auto"/>
        </w:rPr>
      </w:pPr>
      <w:r>
        <w:rPr>
          <w:rFonts w:ascii="Times New Roman" w:cs="Times New Roman" w:eastAsia="Times New Roman" w:hAnsi="Times New Roman"/>
          <w:sz w:val="17"/>
          <w:szCs w:val="17"/>
          <w:color w:val="auto"/>
        </w:rPr>
        <w:t>We contract with third parties to perform various pre-clinical and clinical trial activities on our behalf in the ongoing development of our product candidates. Expenses related to pre-clinical and clinical trial activities are accrued based on the Company’s estimates of the actual services performed by the third parties, such as CROs and CMOs.</w:t>
      </w:r>
    </w:p>
    <w:p>
      <w:pPr>
        <w:spacing w:after="0" w:line="116" w:lineRule="exact"/>
        <w:rPr>
          <w:sz w:val="20"/>
          <w:szCs w:val="20"/>
          <w:color w:val="auto"/>
        </w:rPr>
      </w:pPr>
    </w:p>
    <w:p>
      <w:pPr>
        <w:ind w:right="320" w:firstLine="470"/>
        <w:spacing w:after="0" w:line="306" w:lineRule="auto"/>
        <w:rPr>
          <w:sz w:val="20"/>
          <w:szCs w:val="20"/>
          <w:color w:val="auto"/>
        </w:rPr>
      </w:pPr>
      <w:r>
        <w:rPr>
          <w:rFonts w:ascii="Times New Roman" w:cs="Times New Roman" w:eastAsia="Times New Roman" w:hAnsi="Times New Roman"/>
          <w:sz w:val="17"/>
          <w:szCs w:val="17"/>
          <w:color w:val="auto"/>
        </w:rPr>
        <w:t>Significant judgments are required in estimating the actual services performed by the third parties for the respective period and the related expense accruals. In determining the appropriate accrual, we consider a variety of factors, including contractual requirements with respect to services to be provided, related rates, and our assessment of services performed during the period and progress with respect to any contractual milestones when we have not yet been invoiced or otherwise notified by third parties of actual costs. If the actual status and timing of services performed vary from our estimates, our reported expenses and earnings for the corresponding period may be affected.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Share-Based Compensation</w:t>
      </w:r>
    </w:p>
    <w:p>
      <w:pPr>
        <w:spacing w:after="0" w:line="188" w:lineRule="exact"/>
        <w:rPr>
          <w:sz w:val="20"/>
          <w:szCs w:val="20"/>
          <w:color w:val="auto"/>
        </w:rPr>
      </w:pPr>
    </w:p>
    <w:p>
      <w:pPr>
        <w:ind w:firstLine="470"/>
        <w:spacing w:after="0" w:line="343" w:lineRule="auto"/>
        <w:rPr>
          <w:sz w:val="20"/>
          <w:szCs w:val="20"/>
          <w:color w:val="auto"/>
        </w:rPr>
      </w:pPr>
      <w:r>
        <w:rPr>
          <w:rFonts w:ascii="Times New Roman" w:cs="Times New Roman" w:eastAsia="Times New Roman" w:hAnsi="Times New Roman"/>
          <w:sz w:val="17"/>
          <w:szCs w:val="17"/>
          <w:color w:val="auto"/>
        </w:rPr>
        <w:t>We grant share-based awards, including share options and restricted shares, to eligible employees, non-employees, and directors. Such share-based awards are measured at grant date fair value.</w:t>
      </w:r>
    </w:p>
    <w:p>
      <w:pPr>
        <w:spacing w:after="0" w:line="82" w:lineRule="exact"/>
        <w:rPr>
          <w:sz w:val="20"/>
          <w:szCs w:val="20"/>
          <w:color w:val="auto"/>
        </w:rPr>
      </w:pPr>
    </w:p>
    <w:p>
      <w:pPr>
        <w:ind w:right="80" w:firstLine="470"/>
        <w:spacing w:after="0" w:line="303" w:lineRule="auto"/>
        <w:rPr>
          <w:sz w:val="20"/>
          <w:szCs w:val="20"/>
          <w:color w:val="auto"/>
        </w:rPr>
      </w:pPr>
      <w:r>
        <w:rPr>
          <w:rFonts w:ascii="Times New Roman" w:cs="Times New Roman" w:eastAsia="Times New Roman" w:hAnsi="Times New Roman"/>
          <w:sz w:val="17"/>
          <w:szCs w:val="17"/>
          <w:color w:val="auto"/>
        </w:rPr>
        <w:t>Significant assumptions are required in determining the fair value of share options, which we estimate using the Black-Scholes option valuation model. These assumptions include: (i) the volatility of our ADS price, (ii) the periods of time over which grantees are expected to hold their options prior to exercise (expected term), (iii) the expected dividend yield on our ADSs, and (iv) risk-free interest rates. Since we do not have sufficient historical information to develop reasonable expectations about future exercise patterns and post-vesting employment termination behavior, the expected term is derived from the average midpoint between the weighted-average vesting and the contractual term, also known as the simplified method. The expected dividend yield is zero as we have never paid dividends and do not currently anticipate paying any in the foreseeable future, and risk-free interest rates are based on quoted U.S. Treasury rates for securities with maturities approximating the expected term. If actual results vary from our estimates or our expectations change, our reported expenses and earnings for the corresponding period may be affected.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88" w:lineRule="exact"/>
        <w:rPr>
          <w:sz w:val="20"/>
          <w:szCs w:val="20"/>
          <w:color w:val="auto"/>
        </w:rPr>
      </w:pPr>
    </w:p>
    <w:p>
      <w:pPr>
        <w:ind w:right="80" w:firstLine="470"/>
        <w:spacing w:after="0" w:line="316" w:lineRule="auto"/>
        <w:rPr>
          <w:sz w:val="20"/>
          <w:szCs w:val="20"/>
          <w:color w:val="auto"/>
        </w:rPr>
      </w:pPr>
      <w:r>
        <w:rPr>
          <w:rFonts w:ascii="Times New Roman" w:cs="Times New Roman" w:eastAsia="Times New Roman" w:hAnsi="Times New Roman"/>
          <w:sz w:val="17"/>
          <w:szCs w:val="17"/>
          <w:color w:val="auto"/>
        </w:rPr>
        <w:t>We recognize deferred tax assets and liabilities for temporary differences between the financial statement and income tax bases of assets and liabilities, which are measured using enacted tax rates and laws that will be in effect when the differences are expected to reverse. A valuation allowance is provided when it is more likely than not that some or all</w:t>
      </w:r>
    </w:p>
    <w:p>
      <w:pPr>
        <w:spacing w:after="0" w:line="200" w:lineRule="exact"/>
        <w:rPr>
          <w:sz w:val="20"/>
          <w:szCs w:val="20"/>
          <w:color w:val="auto"/>
        </w:rPr>
      </w:pPr>
    </w:p>
    <w:p>
      <w:pPr>
        <w:spacing w:after="0" w:line="32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color w:val="auto"/>
        </w:rPr>
        <w:t xml:space="preserve">of a deferred tax asset will not be realized. Significant judgements are required when evaluating tax positions in accordance with ASC 740,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w:t>
      </w:r>
    </w:p>
    <w:p>
      <w:pPr>
        <w:spacing w:after="0" w:line="212" w:lineRule="exact"/>
        <w:rPr>
          <w:sz w:val="20"/>
          <w:szCs w:val="20"/>
          <w:color w:val="auto"/>
        </w:rPr>
      </w:pPr>
    </w:p>
    <w:p>
      <w:pPr>
        <w:ind w:firstLine="470"/>
        <w:spacing w:after="0" w:line="303" w:lineRule="auto"/>
        <w:rPr>
          <w:sz w:val="20"/>
          <w:szCs w:val="20"/>
          <w:color w:val="auto"/>
        </w:rPr>
      </w:pPr>
      <w:r>
        <w:rPr>
          <w:rFonts w:ascii="Times New Roman" w:cs="Times New Roman" w:eastAsia="Times New Roman" w:hAnsi="Times New Roman"/>
          <w:sz w:val="17"/>
          <w:szCs w:val="17"/>
          <w:color w:val="auto"/>
        </w:rPr>
        <w:t>We recognize in our financial statements the benefit of a tax position if the tax position is “more likely than not” to prevail based on the facts and technical merits of the position. Tax positions that meet the “more likely than not” recognition threshold are measured at the largest amount of tax benefit that has a greater than fifty percent likelihood of being realized upon settlement. We estimate our liability for unrecognized tax benefits which are periodically assessed and may be affected by changing interpretations of laws, rulings by tax authorities, changes and/or developments with respect to tax audits, and the expiration of the applicable statute of limitations. The ultimate outcome for a particular tax position may not be determined with certainty prior to the conclusion of a tax audit and, in some cases, appeal or litigation process.</w:t>
      </w:r>
    </w:p>
    <w:p>
      <w:pPr>
        <w:spacing w:after="0" w:line="127" w:lineRule="exact"/>
        <w:rPr>
          <w:sz w:val="20"/>
          <w:szCs w:val="20"/>
          <w:color w:val="auto"/>
        </w:rPr>
      </w:pPr>
    </w:p>
    <w:p>
      <w:pPr>
        <w:ind w:right="20" w:firstLine="470"/>
        <w:spacing w:after="0" w:line="303" w:lineRule="auto"/>
        <w:rPr>
          <w:sz w:val="20"/>
          <w:szCs w:val="20"/>
          <w:color w:val="auto"/>
        </w:rPr>
      </w:pPr>
      <w:r>
        <w:rPr>
          <w:rFonts w:ascii="Times New Roman" w:cs="Times New Roman" w:eastAsia="Times New Roman" w:hAnsi="Times New Roman"/>
          <w:sz w:val="17"/>
          <w:szCs w:val="17"/>
          <w:color w:val="auto"/>
        </w:rPr>
        <w:t>We consider positive and negative evidence when determining whether some or all of our deferred tax assets will not be realized. This assessment considers various factors, including the nature, frequency, and severity of current and cumulative losses, forecasts of future profitability, the duration of statutory carry-forward periods, our historical results of operations, and our tax planning strategies. The ultimate realization of deferred tax assets is dependent upon the generation of future taxable income during the periods in which those temporary differences become deductible. Our estimates may be affected by changing interpretations of laws, rulings by tax authorities, changes and/or developments with respect to tax audits, and expiration of the statute of limitations. If actual benefits vary from our estimates or our expectations change, we will adjust the recognition and measurement estimates accordingly, which would affect reported expenses and earnings in the corresponding period.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86" w:lineRule="exact"/>
        <w:rPr>
          <w:sz w:val="20"/>
          <w:szCs w:val="20"/>
          <w:color w:val="auto"/>
        </w:rPr>
      </w:pPr>
    </w:p>
    <w:p>
      <w:pPr>
        <w:ind w:right="180" w:firstLine="470"/>
        <w:spacing w:after="0" w:line="301" w:lineRule="auto"/>
        <w:rPr>
          <w:sz w:val="20"/>
          <w:szCs w:val="20"/>
          <w:color w:val="auto"/>
        </w:rPr>
      </w:pPr>
      <w:r>
        <w:rPr>
          <w:rFonts w:ascii="Times New Roman" w:cs="Times New Roman" w:eastAsia="Times New Roman" w:hAnsi="Times New Roman"/>
          <w:sz w:val="17"/>
          <w:szCs w:val="17"/>
          <w:color w:val="auto"/>
        </w:rPr>
        <w:t xml:space="preserve">To date, we have financed our activities primarily through private placements and public offerings, including our September 2017 initial public offering and various follow-on offerings on Nasdaq and our September 2020 secondary listing and initial public offering on the Hong Kong Stock Exchange. We have raised approximately $164.6 million in private equity financing and approximately $2,677.8 million in net proceeds from public offerings after deducting underwriting commissions and the offering expenses payable by us. Our operations have consumed substantial amounts of cash since inception. The net cash used in our operating activities was $11.9 million and $61.7 million in the first quarter of 2026 and 2025, respectively. For information on our research and development activities and related expenditures, see the </w:t>
      </w:r>
      <w:r>
        <w:rPr>
          <w:rFonts w:ascii="Times New Roman" w:cs="Times New Roman" w:eastAsia="Times New Roman" w:hAnsi="Times New Roman"/>
          <w:sz w:val="17"/>
          <w:szCs w:val="17"/>
          <w:i w:val="1"/>
          <w:iCs w:val="1"/>
          <w:color w:val="auto"/>
        </w:rPr>
        <w:t>Research and Development Expenses, Selling, General, and Administrative Expenses, License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Collaboration Arrangements,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Results of Operations </w:t>
      </w:r>
      <w:r>
        <w:rPr>
          <w:rFonts w:ascii="Times New Roman" w:cs="Times New Roman" w:eastAsia="Times New Roman" w:hAnsi="Times New Roman"/>
          <w:sz w:val="17"/>
          <w:szCs w:val="17"/>
          <w:color w:val="auto"/>
        </w:rPr>
        <w:t>sections above. In addition, as of March 31, 2026, we had commitments of $1.4 million related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commercial manufacturing development activities and capital expenditures.</w:t>
      </w:r>
    </w:p>
    <w:p>
      <w:pPr>
        <w:spacing w:after="0" w:line="130" w:lineRule="exact"/>
        <w:rPr>
          <w:sz w:val="20"/>
          <w:szCs w:val="20"/>
          <w:color w:val="auto"/>
        </w:rPr>
      </w:pPr>
    </w:p>
    <w:p>
      <w:pPr>
        <w:ind w:right="100" w:firstLine="470"/>
        <w:spacing w:after="0" w:line="306" w:lineRule="auto"/>
        <w:rPr>
          <w:sz w:val="20"/>
          <w:szCs w:val="20"/>
          <w:color w:val="auto"/>
        </w:rPr>
      </w:pPr>
      <w:r>
        <w:rPr>
          <w:rFonts w:ascii="Times New Roman" w:cs="Times New Roman" w:eastAsia="Times New Roman" w:hAnsi="Times New Roman"/>
          <w:sz w:val="17"/>
          <w:szCs w:val="17"/>
          <w:color w:val="auto"/>
        </w:rPr>
        <w:t xml:space="preserve">We have also identified opportunities to access capital through debt arrangements on favorable commercial terms. As of March 31, 2026, we had such debt arrangements with Chinese financial institutions that allow certain of our subsidiaries to borrow up to approximately $320.0 million (or RMB2,271.7 million) to support our working capital needs in mainland China. As of March 31, 2026, we had short-term debt outstanding of $213.8 million (or RMB1,479.5 million) pursuant to these debt arrangements. These debt arrangements provide us with additional capital capacity that will give us enhanced flexibility to execute our corporate strategic goals. For more information, see </w:t>
      </w:r>
      <w:r>
        <w:rPr>
          <w:rFonts w:ascii="Times New Roman" w:cs="Times New Roman" w:eastAsia="Times New Roman" w:hAnsi="Times New Roman"/>
          <w:sz w:val="17"/>
          <w:szCs w:val="17"/>
          <w:i w:val="1"/>
          <w:iCs w:val="1"/>
          <w:color w:val="auto"/>
        </w:rPr>
        <w:t>Note 10.</w:t>
      </w:r>
    </w:p>
    <w:p>
      <w:pPr>
        <w:spacing w:after="0" w:line="126" w:lineRule="exact"/>
        <w:rPr>
          <w:sz w:val="20"/>
          <w:szCs w:val="20"/>
          <w:color w:val="auto"/>
        </w:rPr>
      </w:pPr>
    </w:p>
    <w:p>
      <w:pPr>
        <w:ind w:right="140" w:firstLine="470"/>
        <w:spacing w:after="0" w:line="327" w:lineRule="auto"/>
        <w:rPr>
          <w:sz w:val="20"/>
          <w:szCs w:val="20"/>
          <w:color w:val="auto"/>
        </w:rPr>
      </w:pPr>
      <w:r>
        <w:rPr>
          <w:rFonts w:ascii="Times New Roman" w:cs="Times New Roman" w:eastAsia="Times New Roman" w:hAnsi="Times New Roman"/>
          <w:sz w:val="17"/>
          <w:szCs w:val="17"/>
          <w:color w:val="auto"/>
        </w:rPr>
        <w:t>As of March 31, 2026, we had cash and cash equivalents, current restricted cash, and short-term investments of $761.3 million, which we expect will enable us to meet our cash requirements including the funding of operating expenses, capital expenditures, and debt obligations for at least the next 12 months.</w:t>
      </w:r>
    </w:p>
    <w:p>
      <w:pPr>
        <w:spacing w:after="0" w:line="108" w:lineRule="exact"/>
        <w:rPr>
          <w:sz w:val="20"/>
          <w:szCs w:val="20"/>
          <w:color w:val="auto"/>
        </w:rPr>
      </w:pPr>
    </w:p>
    <w:p>
      <w:pPr>
        <w:ind w:right="60" w:firstLine="470"/>
        <w:spacing w:after="0" w:line="316" w:lineRule="auto"/>
        <w:rPr>
          <w:sz w:val="20"/>
          <w:szCs w:val="20"/>
          <w:color w:val="auto"/>
        </w:rPr>
      </w:pPr>
      <w:r>
        <w:rPr>
          <w:rFonts w:ascii="Times New Roman" w:cs="Times New Roman" w:eastAsia="Times New Roman" w:hAnsi="Times New Roman"/>
          <w:sz w:val="17"/>
          <w:szCs w:val="17"/>
          <w:color w:val="auto"/>
        </w:rPr>
        <w:t>Although we believe that we have sufficient capital to fund our operations for at least the next twelve months, we may, from time to time, utilize debt arrangements on favorable commercial terms or consider additional funding sources to bring to fruition our strategic objectives. There can be no assurances that such funding will be made available to us on acceptable terms or at all.</w:t>
      </w:r>
    </w:p>
    <w:p>
      <w:pPr>
        <w:spacing w:after="0" w:line="200" w:lineRule="exact"/>
        <w:rPr>
          <w:sz w:val="20"/>
          <w:szCs w:val="20"/>
          <w:color w:val="auto"/>
        </w:rPr>
      </w:pPr>
    </w:p>
    <w:p>
      <w:pPr>
        <w:spacing w:after="0" w:line="32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204"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color w:val="auto"/>
        </w:rPr>
        <w:t>The following table presents information regarding our cash flows ($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312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1480" w:type="dxa"/>
            <w:vAlign w:val="bottom"/>
            <w:vMerge w:val="restart"/>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07"/>
        </w:trPr>
        <w:tc>
          <w:tcPr>
            <w:tcW w:w="6640" w:type="dxa"/>
            <w:vAlign w:val="bottom"/>
          </w:tcPr>
          <w:p>
            <w:pPr>
              <w:spacing w:after="0"/>
              <w:rPr>
                <w:sz w:val="18"/>
                <w:szCs w:val="18"/>
                <w:color w:val="auto"/>
              </w:rPr>
            </w:pPr>
          </w:p>
        </w:tc>
        <w:tc>
          <w:tcPr>
            <w:tcW w:w="2000" w:type="dxa"/>
            <w:vAlign w:val="bottom"/>
            <w:tcBorders>
              <w:bottom w:val="single" w:sz="8" w:color="auto"/>
            </w:tcBorders>
            <w:gridSpan w:val="3"/>
          </w:tcPr>
          <w:p>
            <w:pPr>
              <w:jc w:val="center"/>
              <w:ind w:left="956"/>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10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4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(11,912)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(61,699)</w:t>
            </w:r>
          </w:p>
        </w:tc>
        <w:tc>
          <w:tcPr>
            <w:tcW w:w="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49,787</w:t>
            </w:r>
          </w:p>
        </w:tc>
        <w:tc>
          <w:tcPr>
            <w:tcW w:w="0" w:type="dxa"/>
            <w:vAlign w:val="bottom"/>
          </w:tcPr>
          <w:p>
            <w:pPr>
              <w:spacing w:after="0"/>
              <w:rPr>
                <w:sz w:val="1"/>
                <w:szCs w:val="1"/>
                <w:color w:val="auto"/>
              </w:rPr>
            </w:pPr>
          </w:p>
        </w:tc>
      </w:tr>
      <w:tr>
        <w:trPr>
          <w:trHeight w:val="222"/>
        </w:trPr>
        <w:tc>
          <w:tcPr>
            <w:tcW w:w="6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(22,288)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326,133</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(348,421)</w:t>
            </w:r>
          </w:p>
        </w:tc>
        <w:tc>
          <w:tcPr>
            <w:tcW w:w="0" w:type="dxa"/>
            <w:vAlign w:val="bottom"/>
          </w:tcPr>
          <w:p>
            <w:pPr>
              <w:spacing w:after="0"/>
              <w:rPr>
                <w:sz w:val="1"/>
                <w:szCs w:val="1"/>
                <w:color w:val="auto"/>
              </w:rPr>
            </w:pPr>
          </w:p>
        </w:tc>
      </w:tr>
      <w:tr>
        <w:trPr>
          <w:trHeight w:val="22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43,141</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(37,568)</w:t>
            </w:r>
          </w:p>
        </w:tc>
        <w:tc>
          <w:tcPr>
            <w:tcW w:w="0" w:type="dxa"/>
            <w:vAlign w:val="bottom"/>
          </w:tcPr>
          <w:p>
            <w:pPr>
              <w:spacing w:after="0"/>
              <w:rPr>
                <w:sz w:val="1"/>
                <w:szCs w:val="1"/>
                <w:color w:val="auto"/>
              </w:rPr>
            </w:pPr>
          </w:p>
        </w:tc>
      </w:tr>
      <w:tr>
        <w:trPr>
          <w:trHeight w:val="222"/>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Effect of foreign exchange rate changes on cash, cash equivalents and restricted cash</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0" w:type="dxa"/>
            <w:vAlign w:val="bottom"/>
          </w:tcPr>
          <w:p>
            <w:pPr>
              <w:spacing w:after="0"/>
              <w:rPr>
                <w:sz w:val="1"/>
                <w:szCs w:val="1"/>
                <w:color w:val="auto"/>
              </w:rPr>
            </w:pPr>
          </w:p>
        </w:tc>
      </w:tr>
      <w:tr>
        <w:trPr>
          <w:trHeight w:val="240"/>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(decrease) increase in cash, cash equivalents and restricted cash</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(28,256)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307,595</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(335,851)</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Cash Used in Operating Activities</w:t>
      </w:r>
    </w:p>
    <w:p>
      <w:pPr>
        <w:spacing w:after="0" w:line="188" w:lineRule="exact"/>
        <w:rPr>
          <w:sz w:val="20"/>
          <w:szCs w:val="20"/>
          <w:color w:val="auto"/>
        </w:rPr>
      </w:pPr>
    </w:p>
    <w:p>
      <w:pPr>
        <w:jc w:val="both"/>
        <w:ind w:firstLine="470"/>
        <w:spacing w:after="0" w:line="316" w:lineRule="auto"/>
        <w:rPr>
          <w:sz w:val="20"/>
          <w:szCs w:val="20"/>
          <w:color w:val="auto"/>
        </w:rPr>
      </w:pPr>
      <w:r>
        <w:rPr>
          <w:rFonts w:ascii="Times New Roman" w:cs="Times New Roman" w:eastAsia="Times New Roman" w:hAnsi="Times New Roman"/>
          <w:sz w:val="17"/>
          <w:szCs w:val="17"/>
          <w:color w:val="auto"/>
        </w:rPr>
        <w:t>Net cash used in operating activities decreased by $49.8 million in the first quarter of 2026, primarily due to an increase of $70.8 million in net changes in operating assets and liabilities, partially offset by a decrease of $18.4 million in other adjustments to reconcile net loss to net cash used in operating activities and an increase of $2.6 million in net loss.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Cash (Used in) Provided by Investing Activities</w:t>
      </w:r>
    </w:p>
    <w:p>
      <w:pPr>
        <w:spacing w:after="0" w:line="188" w:lineRule="exact"/>
        <w:rPr>
          <w:sz w:val="20"/>
          <w:szCs w:val="20"/>
          <w:color w:val="auto"/>
        </w:rPr>
      </w:pPr>
    </w:p>
    <w:p>
      <w:pPr>
        <w:ind w:right="40" w:firstLine="470"/>
        <w:spacing w:after="0" w:line="316" w:lineRule="auto"/>
        <w:rPr>
          <w:sz w:val="20"/>
          <w:szCs w:val="20"/>
          <w:color w:val="auto"/>
        </w:rPr>
      </w:pPr>
      <w:r>
        <w:rPr>
          <w:rFonts w:ascii="Times New Roman" w:cs="Times New Roman" w:eastAsia="Times New Roman" w:hAnsi="Times New Roman"/>
          <w:sz w:val="17"/>
          <w:szCs w:val="17"/>
          <w:color w:val="auto"/>
        </w:rPr>
        <w:t>Net cash used in investing activities was $22.3 million in the first quarter of 2026, compared to net cash provided by investing activities of $326.1 million in the first quarter of 2025, primarily due to a decrease of $330.0 million in proceeds from the maturity of short-term investments and an increase of $18.8 million from acquisitions of intangible assets.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Cash Provided by Financing Activities</w:t>
      </w:r>
    </w:p>
    <w:p>
      <w:pPr>
        <w:spacing w:after="0" w:line="188" w:lineRule="exact"/>
        <w:rPr>
          <w:sz w:val="20"/>
          <w:szCs w:val="20"/>
          <w:color w:val="auto"/>
        </w:rPr>
      </w:pPr>
    </w:p>
    <w:p>
      <w:pPr>
        <w:ind w:right="120" w:firstLine="470"/>
        <w:spacing w:after="0" w:line="316" w:lineRule="auto"/>
        <w:rPr>
          <w:sz w:val="20"/>
          <w:szCs w:val="20"/>
          <w:color w:val="auto"/>
        </w:rPr>
      </w:pPr>
      <w:r>
        <w:rPr>
          <w:rFonts w:ascii="Times New Roman" w:cs="Times New Roman" w:eastAsia="Times New Roman" w:hAnsi="Times New Roman"/>
          <w:sz w:val="17"/>
          <w:szCs w:val="17"/>
          <w:color w:val="auto"/>
        </w:rPr>
        <w:t>Net cash provided by financing activities decreased by $37.6 million in the first quarter of 2026, primarily due to an increase of $44.6 million in repayment of short-term bank borrowings, an increase of $2.3 million in employee taxes paid related to net share settlement of equity awards, and a decrease of $2.2 million in proceeds from exercises of stock options, partially offset by an increase of $10.6 million in short-term debt proceeds.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Issued Accounting Standards</w:t>
      </w:r>
    </w:p>
    <w:p>
      <w:pPr>
        <w:spacing w:after="0" w:line="184" w:lineRule="exact"/>
        <w:rPr>
          <w:sz w:val="20"/>
          <w:szCs w:val="20"/>
          <w:color w:val="auto"/>
        </w:rPr>
      </w:pPr>
    </w:p>
    <w:p>
      <w:pPr>
        <w:ind w:right="520" w:firstLine="470"/>
        <w:spacing w:after="0" w:line="346" w:lineRule="auto"/>
        <w:rPr>
          <w:sz w:val="20"/>
          <w:szCs w:val="20"/>
          <w:color w:val="auto"/>
        </w:rPr>
      </w:pPr>
      <w:r>
        <w:rPr>
          <w:rFonts w:ascii="Times New Roman" w:cs="Times New Roman" w:eastAsia="Times New Roman" w:hAnsi="Times New Roman"/>
          <w:sz w:val="17"/>
          <w:szCs w:val="17"/>
          <w:color w:val="auto"/>
        </w:rPr>
        <w:t xml:space="preserve">For more information regarding recently issued accounting standards, see </w:t>
      </w:r>
      <w:r>
        <w:rPr>
          <w:rFonts w:ascii="Times New Roman" w:cs="Times New Roman" w:eastAsia="Times New Roman" w:hAnsi="Times New Roman"/>
          <w:sz w:val="17"/>
          <w:szCs w:val="17"/>
          <w:i w:val="1"/>
          <w:iCs w:val="1"/>
          <w:color w:val="auto"/>
        </w:rPr>
        <w:t>Part II – Item 8. Financial Statements and Supplementary Data – Recent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Accounting Pronouncements </w:t>
      </w:r>
      <w:r>
        <w:rPr>
          <w:rFonts w:ascii="Times New Roman" w:cs="Times New Roman" w:eastAsia="Times New Roman" w:hAnsi="Times New Roman"/>
          <w:sz w:val="17"/>
          <w:szCs w:val="17"/>
          <w:color w:val="auto"/>
        </w:rPr>
        <w:t>in our 2025 Annual Report. The Company has not adopted any new accounting standards in the first quarter of 2026.</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We are exposed to market risk including foreign exchange risk, credit risk, and interest rate risk.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Exchange Risk</w:t>
      </w:r>
    </w:p>
    <w:p>
      <w:pPr>
        <w:spacing w:after="0" w:line="188" w:lineRule="exact"/>
        <w:rPr>
          <w:sz w:val="20"/>
          <w:szCs w:val="20"/>
          <w:color w:val="auto"/>
        </w:rPr>
      </w:pPr>
    </w:p>
    <w:p>
      <w:pPr>
        <w:ind w:right="60" w:firstLine="470"/>
        <w:spacing w:after="0" w:line="306" w:lineRule="auto"/>
        <w:rPr>
          <w:sz w:val="20"/>
          <w:szCs w:val="20"/>
          <w:color w:val="auto"/>
        </w:rPr>
      </w:pPr>
      <w:r>
        <w:rPr>
          <w:rFonts w:ascii="Times New Roman" w:cs="Times New Roman" w:eastAsia="Times New Roman" w:hAnsi="Times New Roman"/>
          <w:sz w:val="17"/>
          <w:szCs w:val="17"/>
          <w:color w:val="auto"/>
        </w:rPr>
        <w:t>Renminbi, or RMB, is not a freely convertible currency. The State Administration of Foreign Exchange, under the authority of the People’s Bank of China, controls the conversion of RMB into foreign currencies. The value of RMB is subject to changes in central government policies and to international economic and political developments affecting supply and demand in the China Foreign Exchange Trading System market. The cash and cash equivalents of the Company included aggregated amounts of $15.8 million and $25.4 million, which were denominated in RMB, representing 2% and 4% of the cash and cash equivalents as of March 31, 2026 and December 31, 2025, respectively.</w:t>
      </w:r>
    </w:p>
    <w:p>
      <w:pPr>
        <w:spacing w:after="0" w:line="113" w:lineRule="exact"/>
        <w:rPr>
          <w:sz w:val="20"/>
          <w:szCs w:val="20"/>
          <w:color w:val="auto"/>
        </w:rPr>
      </w:pPr>
    </w:p>
    <w:p>
      <w:pPr>
        <w:jc w:val="both"/>
        <w:ind w:right="40" w:firstLine="470"/>
        <w:spacing w:after="0" w:line="312" w:lineRule="auto"/>
        <w:rPr>
          <w:sz w:val="20"/>
          <w:szCs w:val="20"/>
          <w:color w:val="auto"/>
        </w:rPr>
      </w:pPr>
      <w:r>
        <w:rPr>
          <w:rFonts w:ascii="Times New Roman" w:cs="Times New Roman" w:eastAsia="Times New Roman" w:hAnsi="Times New Roman"/>
          <w:sz w:val="17"/>
          <w:szCs w:val="17"/>
          <w:color w:val="auto"/>
        </w:rPr>
        <w:t>While our financial statements are presented in U.S. dollars, our business mainly operates in mainland China with a significant portion of our transactions settled in RMB, and as such, we do not believe that we currently have significant direct foreign exchange risk and have not used derivative financial instruments to hedge our exposure to such risk. Although, in general, our exposure to foreign exchange risk should be limited, the value of your investment in our ADSs and ordinary shares will be affected by the exchange rate between the U.S. dollar and the RMB and between the HK dollar</w:t>
      </w:r>
    </w:p>
    <w:p>
      <w:pPr>
        <w:spacing w:after="0" w:line="200" w:lineRule="exact"/>
        <w:rPr>
          <w:sz w:val="20"/>
          <w:szCs w:val="20"/>
          <w:color w:val="auto"/>
        </w:rPr>
      </w:pPr>
    </w:p>
    <w:p>
      <w:pPr>
        <w:spacing w:after="0" w:line="32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31" w:name="page32"/>
    <w:bookmarkEnd w:id="31"/>
    <w:p>
      <w:pPr>
        <w:ind w:right="40"/>
        <w:spacing w:after="0" w:line="343" w:lineRule="auto"/>
        <w:rPr>
          <w:sz w:val="20"/>
          <w:szCs w:val="20"/>
          <w:color w:val="auto"/>
        </w:rPr>
      </w:pPr>
      <w:r>
        <w:rPr>
          <w:rFonts w:ascii="Times New Roman" w:cs="Times New Roman" w:eastAsia="Times New Roman" w:hAnsi="Times New Roman"/>
          <w:sz w:val="17"/>
          <w:szCs w:val="17"/>
          <w:color w:val="auto"/>
        </w:rPr>
        <w:t>and the RMB, respectively, because the value of our business is effectively denominated in RMB, while ADSs and ordinary shares are traded in U.S. dollars and HK dollars, respectively.</w:t>
      </w:r>
    </w:p>
    <w:p>
      <w:pPr>
        <w:spacing w:after="0" w:line="82" w:lineRule="exact"/>
        <w:rPr>
          <w:sz w:val="20"/>
          <w:szCs w:val="20"/>
          <w:color w:val="auto"/>
        </w:rPr>
      </w:pPr>
    </w:p>
    <w:p>
      <w:pPr>
        <w:ind w:right="200" w:firstLine="470"/>
        <w:spacing w:after="0" w:line="316" w:lineRule="auto"/>
        <w:rPr>
          <w:sz w:val="20"/>
          <w:szCs w:val="20"/>
          <w:color w:val="auto"/>
        </w:rPr>
      </w:pPr>
      <w:r>
        <w:rPr>
          <w:rFonts w:ascii="Times New Roman" w:cs="Times New Roman" w:eastAsia="Times New Roman" w:hAnsi="Times New Roman"/>
          <w:sz w:val="17"/>
          <w:szCs w:val="17"/>
          <w:color w:val="auto"/>
        </w:rPr>
        <w:t>The value of the RMB against the U.S. dollar and other currencies may fluctuate and is affected by, among other things, changes in Greater China’s political and economic conditions. The conversion of RMB into foreign currencies, including U.S. dollars, has been based on rates set by the People’s Bank of China.</w:t>
      </w:r>
    </w:p>
    <w:p>
      <w:pPr>
        <w:spacing w:after="0" w:line="116" w:lineRule="exact"/>
        <w:rPr>
          <w:sz w:val="20"/>
          <w:szCs w:val="20"/>
          <w:color w:val="auto"/>
        </w:rPr>
      </w:pPr>
    </w:p>
    <w:p>
      <w:pPr>
        <w:ind w:right="80" w:firstLine="470"/>
        <w:spacing w:after="0" w:line="303" w:lineRule="auto"/>
        <w:rPr>
          <w:sz w:val="20"/>
          <w:szCs w:val="20"/>
          <w:color w:val="auto"/>
        </w:rPr>
      </w:pPr>
      <w:r>
        <w:rPr>
          <w:rFonts w:ascii="Times New Roman" w:cs="Times New Roman" w:eastAsia="Times New Roman" w:hAnsi="Times New Roman"/>
          <w:sz w:val="17"/>
          <w:szCs w:val="17"/>
          <w:color w:val="auto"/>
        </w:rPr>
        <w:t>The value of our ADSs and our ordinary shares will be affected by the foreign exchange rates between U.S. dollars, HK dollars, and the RMB. For example, to the extent that we need to convert U.S. dollars or HK dollars into RMB for our operations or if any of our arrangements with other parties are denominated in U.S. dollars or HK dollars and need to be converted into RMB, appreciation of the RMB against the U.S. dollar or the HK dollar would have an adverse effect on the RMB amount we receive from the conversion. Conversely, if we decide to convert RMB into U.S. dollars or HK dollars for the purpose of making payments for dividends on ordinary shares or ADSs or for other business purposes, appreciation of the U.S. dollar or the HK dollar against the RMB would have a negative effect on the conversion amounts available to us.</w:t>
      </w:r>
    </w:p>
    <w:p>
      <w:pPr>
        <w:spacing w:after="0" w:line="127" w:lineRule="exact"/>
        <w:rPr>
          <w:sz w:val="20"/>
          <w:szCs w:val="20"/>
          <w:color w:val="auto"/>
        </w:rPr>
      </w:pPr>
    </w:p>
    <w:p>
      <w:pPr>
        <w:ind w:firstLine="470"/>
        <w:spacing w:after="0" w:line="306" w:lineRule="auto"/>
        <w:rPr>
          <w:sz w:val="20"/>
          <w:szCs w:val="20"/>
          <w:color w:val="auto"/>
        </w:rPr>
      </w:pPr>
      <w:r>
        <w:rPr>
          <w:rFonts w:ascii="Times New Roman" w:cs="Times New Roman" w:eastAsia="Times New Roman" w:hAnsi="Times New Roman"/>
          <w:sz w:val="17"/>
          <w:szCs w:val="17"/>
          <w:color w:val="auto"/>
        </w:rPr>
        <w:t>Since 1983, the Hong Kong Monetary Authority has pegged the HK dollar to the U.S. dollar at the rate of approximately HK$7.80 to US$1.00. However, there is no assurance that the HK dollar will continue to be pegged to the U.S. dollar or that the HK dollar conversion rate will remain at HK$7.80 to US$1.00. If the HK dollar conversion rate against the U.S. dollar changes and the value of the HK dollar depreciates against the U.S. dollar, our assets denominated in HK dollars will be adversely affected. Additionally, if the Hong Kong Monetary Authority were to repeg the HK dollar to, for example, the RMB rather than the U.S. dollar, or otherwise restrict the conversion of HK dollars into other currencies, then our assets denominated in HK dollars will be adversely affected.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Risk</w:t>
      </w:r>
    </w:p>
    <w:p>
      <w:pPr>
        <w:spacing w:after="0" w:line="188" w:lineRule="exact"/>
        <w:rPr>
          <w:sz w:val="20"/>
          <w:szCs w:val="20"/>
          <w:color w:val="auto"/>
        </w:rPr>
      </w:pPr>
    </w:p>
    <w:p>
      <w:pPr>
        <w:ind w:right="40" w:firstLine="470"/>
        <w:spacing w:after="0" w:line="327" w:lineRule="auto"/>
        <w:rPr>
          <w:sz w:val="20"/>
          <w:szCs w:val="20"/>
          <w:color w:val="auto"/>
        </w:rPr>
      </w:pPr>
      <w:r>
        <w:rPr>
          <w:rFonts w:ascii="Times New Roman" w:cs="Times New Roman" w:eastAsia="Times New Roman" w:hAnsi="Times New Roman"/>
          <w:sz w:val="17"/>
          <w:szCs w:val="17"/>
          <w:color w:val="auto"/>
        </w:rPr>
        <w:t>Financial instruments that are potentially subject to significant concentration of credit risk consist of cash and cash equivalents, restricted cash, short-term investments, accounts receivable, and notes receivable.</w:t>
      </w:r>
    </w:p>
    <w:p>
      <w:pPr>
        <w:spacing w:after="0" w:line="10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carrying amounts of cash and cash equivalents and short-term investments represent the maximum amount of losses due to credit risk. As of</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 and December 31, 2025, we had cash and cash equivalents of $651.3 million and $679.6 million, respectively, restricted cash of $101.1 million,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short-term investments of $10.0 million. As of March 31, 2026 and December 31, 2025, all of our cash and cash equivalents, restricted cash, and short-term</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investments were held by major financial institutions located in mainland China and international financial institutions outside of mainland China which we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believe are of high credit quality and for which we monitor continued credit worthiness.</w:t>
      </w:r>
    </w:p>
    <w:p>
      <w:pPr>
        <w:spacing w:after="0" w:line="197" w:lineRule="exact"/>
        <w:rPr>
          <w:sz w:val="20"/>
          <w:szCs w:val="20"/>
          <w:color w:val="auto"/>
        </w:rPr>
      </w:pPr>
    </w:p>
    <w:p>
      <w:pPr>
        <w:ind w:right="40" w:firstLine="470"/>
        <w:spacing w:after="0" w:line="312" w:lineRule="auto"/>
        <w:rPr>
          <w:sz w:val="20"/>
          <w:szCs w:val="20"/>
          <w:color w:val="auto"/>
        </w:rPr>
      </w:pPr>
      <w:r>
        <w:rPr>
          <w:rFonts w:ascii="Times New Roman" w:cs="Times New Roman" w:eastAsia="Times New Roman" w:hAnsi="Times New Roman"/>
          <w:sz w:val="17"/>
          <w:szCs w:val="17"/>
          <w:color w:val="auto"/>
        </w:rPr>
        <w:t>Accounts receivable are typically unsecured and are derived from product revenue. We manage credit risk related to our accounts receivable through ongoing monitoring of outstanding balances and limiting the amount of credit extended based upon payment history and credit worthiness. Historically, we have collected receivables from customers within the credit terms with no significant credit losses incurred. As of March 31, 2026, our largest customer accounted for approximately 25% of our total accounts receivable collectively.</w:t>
      </w:r>
    </w:p>
    <w:p>
      <w:pPr>
        <w:spacing w:after="0" w:line="120" w:lineRule="exact"/>
        <w:rPr>
          <w:sz w:val="20"/>
          <w:szCs w:val="20"/>
          <w:color w:val="auto"/>
        </w:rPr>
      </w:pPr>
    </w:p>
    <w:p>
      <w:pPr>
        <w:ind w:right="60" w:firstLine="470"/>
        <w:spacing w:after="0" w:line="307" w:lineRule="auto"/>
        <w:rPr>
          <w:sz w:val="20"/>
          <w:szCs w:val="20"/>
          <w:color w:val="auto"/>
        </w:rPr>
      </w:pPr>
      <w:r>
        <w:rPr>
          <w:rFonts w:ascii="Times New Roman" w:cs="Times New Roman" w:eastAsia="Times New Roman" w:hAnsi="Times New Roman"/>
          <w:sz w:val="17"/>
          <w:szCs w:val="17"/>
          <w:color w:val="auto"/>
        </w:rPr>
        <w:t>Certain accounts receivable balances are settled in the form of notes receivable. As of March 31, 2026, such notes receivable included bank acceptance promissory notes that are non-interest bearing and due within six months. These notes receivable were used to collect the receivables based on an administrative convenience, given these notes are readily convertible to known amounts of cash. In accordance with the sales agreements, whether to use cash or bank acceptance promissory notes to settle the receivables is at our discretion, and this selection does not impact the agreed contractual purchase prices.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188" w:lineRule="exact"/>
        <w:rPr>
          <w:sz w:val="20"/>
          <w:szCs w:val="20"/>
          <w:color w:val="auto"/>
        </w:rPr>
      </w:pPr>
    </w:p>
    <w:p>
      <w:pPr>
        <w:jc w:val="both"/>
        <w:ind w:right="80" w:firstLine="470"/>
        <w:spacing w:after="0" w:line="294" w:lineRule="auto"/>
        <w:rPr>
          <w:sz w:val="20"/>
          <w:szCs w:val="20"/>
          <w:color w:val="auto"/>
        </w:rPr>
      </w:pPr>
      <w:r>
        <w:rPr>
          <w:rFonts w:ascii="Times New Roman" w:cs="Times New Roman" w:eastAsia="Times New Roman" w:hAnsi="Times New Roman"/>
          <w:sz w:val="17"/>
          <w:szCs w:val="17"/>
          <w:color w:val="auto"/>
        </w:rPr>
        <w:t>We are exposed to risks related to changes in interest rates on our cash and cash equivalents, restricted cash, and short-term investments. As of March 31, 2026 and December 31, 2025, we had cash and cash equivalents of $651.3 million and $679.6 million, respectively, restricted cash of $101.1 million, and short-term investments of $10.0 million. Our investment portfolio, which relates to cash equivalents and short-term investments, primarily consists of time deposits.</w:t>
      </w:r>
    </w:p>
    <w:p>
      <w:pPr>
        <w:spacing w:after="0"/>
        <w:rPr>
          <w:sz w:val="20"/>
          <w:szCs w:val="20"/>
          <w:color w:val="auto"/>
        </w:rPr>
      </w:pPr>
      <w:r>
        <w:rPr>
          <w:rFonts w:ascii="Times New Roman" w:cs="Times New Roman" w:eastAsia="Times New Roman" w:hAnsi="Times New Roman"/>
          <w:sz w:val="17"/>
          <w:szCs w:val="17"/>
          <w:color w:val="auto"/>
        </w:rPr>
        <w:t>The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32" w:name="page33"/>
    <w:bookmarkEnd w:id="32"/>
    <w:p>
      <w:pPr>
        <w:spacing w:after="0" w:line="240" w:lineRule="exact"/>
        <w:rPr>
          <w:sz w:val="20"/>
          <w:szCs w:val="20"/>
          <w:color w:val="auto"/>
        </w:rPr>
      </w:pPr>
      <w:r>
        <w:rPr>
          <w:rFonts w:ascii="Times New Roman" w:cs="Times New Roman" w:eastAsia="Times New Roman" w:hAnsi="Times New Roman"/>
          <w:sz w:val="17"/>
          <w:szCs w:val="17"/>
          <w:color w:val="auto"/>
        </w:rPr>
        <w:t>primary objectives of our investment activities are to preserve principal, provide liquidity, and maximize income without significantly increasing risk. Given the short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term nature of our deposits and investments, we believe that a sudden change in market interest rates would not be expected to have a material impact on our financial condition and/or results of operation. For example, a hypothetical 10% relative change in interest rates during any of the periods presented would not have a material impact on future interest income.</w:t>
      </w:r>
    </w:p>
    <w:p>
      <w:pPr>
        <w:spacing w:after="0" w:line="166" w:lineRule="exact"/>
        <w:rPr>
          <w:sz w:val="20"/>
          <w:szCs w:val="20"/>
          <w:color w:val="auto"/>
        </w:rPr>
      </w:pPr>
    </w:p>
    <w:p>
      <w:pPr>
        <w:jc w:val="both"/>
        <w:ind w:right="100" w:firstLine="470"/>
        <w:spacing w:after="0" w:line="312" w:lineRule="auto"/>
        <w:rPr>
          <w:sz w:val="20"/>
          <w:szCs w:val="20"/>
          <w:color w:val="auto"/>
        </w:rPr>
      </w:pPr>
      <w:r>
        <w:rPr>
          <w:rFonts w:ascii="Times New Roman" w:cs="Times New Roman" w:eastAsia="Times New Roman" w:hAnsi="Times New Roman"/>
          <w:sz w:val="17"/>
          <w:szCs w:val="17"/>
          <w:color w:val="auto"/>
        </w:rPr>
        <w:t xml:space="preserve">We are also exposed to risks related to changes in interest rates on our short-term debt, which is currently subject to a mix of fixed and floating interest rates. As of March 31, 2026 and December 31, 2025, we had short-term debt of $213.8 million and $204.5 million, respectively. A 100-basis point increase in interest rates would not materially increase our interest expense. Our interest rate exposure from short-term debt is also offset by our exposure in cash and cash equivalents, restricted cash, and short-term investments, as discussed above. For more information on our short-term debt, see </w:t>
      </w:r>
      <w:r>
        <w:rPr>
          <w:rFonts w:ascii="Times New Roman" w:cs="Times New Roman" w:eastAsia="Times New Roman" w:hAnsi="Times New Roman"/>
          <w:sz w:val="17"/>
          <w:szCs w:val="17"/>
          <w:i w:val="1"/>
          <w:iCs w:val="1"/>
          <w:color w:val="auto"/>
        </w:rPr>
        <w:t>Note 10</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Management’s Evaluation of Our Disclosure Controls and Procedures</w:t>
      </w:r>
    </w:p>
    <w:p>
      <w:pPr>
        <w:spacing w:after="0" w:line="188" w:lineRule="exact"/>
        <w:rPr>
          <w:sz w:val="20"/>
          <w:szCs w:val="20"/>
          <w:color w:val="auto"/>
        </w:rPr>
      </w:pPr>
    </w:p>
    <w:p>
      <w:pPr>
        <w:ind w:right="100" w:firstLine="470"/>
        <w:spacing w:after="0" w:line="305" w:lineRule="auto"/>
        <w:rPr>
          <w:sz w:val="20"/>
          <w:szCs w:val="20"/>
          <w:color w:val="auto"/>
        </w:rPr>
      </w:pPr>
      <w:r>
        <w:rPr>
          <w:rFonts w:ascii="Times New Roman" w:cs="Times New Roman" w:eastAsia="Times New Roman" w:hAnsi="Times New Roman"/>
          <w:sz w:val="17"/>
          <w:szCs w:val="17"/>
          <w:color w:val="auto"/>
        </w:rPr>
        <w:t>Our management, including our Chief Executive Officer and Chief Financial Officer, performed an evaluation of the effectiveness of our disclosure controls and procedures (as defined in Exchange Act Rule 13a-15(e)) as of the end of the period covered by this report. Our disclosure controls and procedures are designed to ensure that the information required to be disclosed in the reports that we file or furnish under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 Any controls and procedures, no matter how well designed and operated, can provide only reasonable assurance of achieving the desired control objective. Based upon that evaluation, our management has concluded that, as of March 31, 2026, our disclosure controls and procedures were effective.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p>
    <w:p>
      <w:pPr>
        <w:spacing w:after="0" w:line="188" w:lineRule="exact"/>
        <w:rPr>
          <w:sz w:val="20"/>
          <w:szCs w:val="20"/>
          <w:color w:val="auto"/>
        </w:rPr>
      </w:pPr>
    </w:p>
    <w:p>
      <w:pPr>
        <w:ind w:right="600" w:firstLine="470"/>
        <w:spacing w:after="0" w:line="343"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such item is defined in Rules 13a-15(f)) during the fiscal quarter ended March 31, 2026 that materially affected, or are reasonably likely to materially affect, our internal control over financial reporting.</w:t>
      </w:r>
    </w:p>
    <w:p>
      <w:pPr>
        <w:spacing w:after="0" w:line="200" w:lineRule="exact"/>
        <w:rPr>
          <w:sz w:val="20"/>
          <w:szCs w:val="20"/>
          <w:color w:val="auto"/>
        </w:rPr>
      </w:pPr>
    </w:p>
    <w:p>
      <w:pPr>
        <w:spacing w:after="0" w:line="30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206" w:right="399" w:bottom="1440" w:gutter="0" w:footer="0" w:header="0"/>
        </w:sectPr>
      </w:pPr>
    </w:p>
    <w:bookmarkStart w:id="33" w:name="page34"/>
    <w:bookmarkEnd w:id="33"/>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86" w:lineRule="exact"/>
        <w:rPr>
          <w:sz w:val="20"/>
          <w:szCs w:val="20"/>
          <w:color w:val="auto"/>
        </w:rPr>
      </w:pPr>
    </w:p>
    <w:p>
      <w:pPr>
        <w:ind w:right="180" w:firstLine="470"/>
        <w:spacing w:after="0" w:line="327" w:lineRule="auto"/>
        <w:rPr>
          <w:sz w:val="20"/>
          <w:szCs w:val="20"/>
          <w:color w:val="auto"/>
        </w:rPr>
      </w:pPr>
      <w:r>
        <w:rPr>
          <w:rFonts w:ascii="Times New Roman" w:cs="Times New Roman" w:eastAsia="Times New Roman" w:hAnsi="Times New Roman"/>
          <w:sz w:val="17"/>
          <w:szCs w:val="17"/>
          <w:color w:val="auto"/>
        </w:rPr>
        <w:t>We may be, from time to time, subject to claims and suits arising in the ordinary course of business. We are not currently a party to any material legal or administrative proceedings.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86" w:lineRule="exact"/>
        <w:rPr>
          <w:sz w:val="20"/>
          <w:szCs w:val="20"/>
          <w:color w:val="auto"/>
        </w:rPr>
      </w:pPr>
    </w:p>
    <w:p>
      <w:pPr>
        <w:ind w:right="40" w:firstLine="470"/>
        <w:spacing w:after="0" w:line="316" w:lineRule="auto"/>
        <w:rPr>
          <w:sz w:val="20"/>
          <w:szCs w:val="20"/>
          <w:color w:val="auto"/>
        </w:rPr>
      </w:pPr>
      <w:r>
        <w:rPr>
          <w:rFonts w:ascii="Times New Roman" w:cs="Times New Roman" w:eastAsia="Times New Roman" w:hAnsi="Times New Roman"/>
          <w:sz w:val="17"/>
          <w:szCs w:val="17"/>
          <w:color w:val="auto"/>
        </w:rPr>
        <w:t>We are subject to risks and uncertainties that could, directly or indirectly, adversely affect our business, results of operations, financial condition, liquidity, cash flows, strategies, and/or prospects. There have been no material changes in our risk factors from those disclosed in the “Risk Factors” section of our 2025 Annual Report.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Sales of Unregistered Securities</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186" w:lineRule="exact"/>
        <w:rPr>
          <w:sz w:val="20"/>
          <w:szCs w:val="20"/>
          <w:color w:val="auto"/>
        </w:rPr>
      </w:pPr>
    </w:p>
    <w:p>
      <w:pPr>
        <w:ind w:right="140" w:firstLine="470"/>
        <w:spacing w:after="0" w:line="343" w:lineRule="auto"/>
        <w:rPr>
          <w:sz w:val="20"/>
          <w:szCs w:val="20"/>
          <w:color w:val="auto"/>
        </w:rPr>
      </w:pPr>
      <w:r>
        <w:rPr>
          <w:rFonts w:ascii="Times New Roman" w:cs="Times New Roman" w:eastAsia="Times New Roman" w:hAnsi="Times New Roman"/>
          <w:sz w:val="17"/>
          <w:szCs w:val="17"/>
          <w:color w:val="auto"/>
        </w:rPr>
        <w:t>The following table presents acquisitions of the Company’s ADSs to satisfy tax withholding obligations due in connection with exercise of option shares or vesting of restricted shares during the first quarter of 2026:</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2480" w:type="dxa"/>
            <w:vAlign w:val="bottom"/>
            <w:tcBorders>
              <w:top w:val="single" w:sz="8" w:color="B6B6B6"/>
              <w:left w:val="single" w:sz="8" w:color="B6B6B6"/>
              <w:right w:val="single" w:sz="8" w:color="B6B6B6"/>
            </w:tcBorders>
          </w:tcPr>
          <w:p>
            <w:pPr>
              <w:ind w:left="1000"/>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2200" w:type="dxa"/>
            <w:vAlign w:val="bottom"/>
            <w:tcBorders>
              <w:top w:val="single" w:sz="8" w:color="B6B6B6"/>
              <w:right w:val="single" w:sz="8" w:color="B6B6B6"/>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Total Number of Shares (or</w:t>
            </w:r>
          </w:p>
        </w:tc>
        <w:tc>
          <w:tcPr>
            <w:tcW w:w="2200" w:type="dxa"/>
            <w:vAlign w:val="bottom"/>
            <w:tcBorders>
              <w:top w:val="single" w:sz="8" w:color="B6B6B6"/>
              <w:right w:val="single" w:sz="8" w:color="B6B6B6"/>
            </w:tcBorders>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Average Price Paid per</w:t>
            </w:r>
          </w:p>
        </w:tc>
        <w:tc>
          <w:tcPr>
            <w:tcW w:w="2180" w:type="dxa"/>
            <w:vAlign w:val="bottom"/>
            <w:tcBorders>
              <w:top w:val="single" w:sz="8" w:color="B6B6B6"/>
              <w:right w:val="single" w:sz="8" w:color="B6B6B6"/>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Total Number of Shares (or</w:t>
            </w:r>
          </w:p>
        </w:tc>
        <w:tc>
          <w:tcPr>
            <w:tcW w:w="2200" w:type="dxa"/>
            <w:vAlign w:val="bottom"/>
            <w:tcBorders>
              <w:top w:val="single" w:sz="8" w:color="B6B6B6"/>
              <w:right w:val="single" w:sz="8" w:color="B6B6B6"/>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Maximum Number (or</w:t>
            </w:r>
          </w:p>
        </w:tc>
      </w:tr>
      <w:tr>
        <w:trPr>
          <w:trHeight w:val="196"/>
        </w:trPr>
        <w:tc>
          <w:tcPr>
            <w:tcW w:w="2480" w:type="dxa"/>
            <w:vAlign w:val="bottom"/>
            <w:tcBorders>
              <w:left w:val="single" w:sz="8" w:color="B6B6B6"/>
              <w:right w:val="single" w:sz="8" w:color="B6B6B6"/>
            </w:tcBorders>
          </w:tcPr>
          <w:p>
            <w:pPr>
              <w:spacing w:after="0"/>
              <w:rPr>
                <w:sz w:val="17"/>
                <w:szCs w:val="17"/>
                <w:color w:val="auto"/>
              </w:rPr>
            </w:pPr>
          </w:p>
        </w:tc>
        <w:tc>
          <w:tcPr>
            <w:tcW w:w="2200" w:type="dxa"/>
            <w:vAlign w:val="bottom"/>
            <w:tcBorders>
              <w:right w:val="single" w:sz="8" w:color="B6B6B6"/>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Units) Purchased</w:t>
            </w:r>
          </w:p>
        </w:tc>
        <w:tc>
          <w:tcPr>
            <w:tcW w:w="2200" w:type="dxa"/>
            <w:vAlign w:val="bottom"/>
            <w:tcBorders>
              <w:right w:val="single" w:sz="8" w:color="B6B6B6"/>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Share (or Unit)</w:t>
            </w:r>
          </w:p>
        </w:tc>
        <w:tc>
          <w:tcPr>
            <w:tcW w:w="2180" w:type="dxa"/>
            <w:vAlign w:val="bottom"/>
            <w:tcBorders>
              <w:right w:val="single" w:sz="8" w:color="B6B6B6"/>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Units) Purchased as Part of</w:t>
            </w:r>
          </w:p>
        </w:tc>
        <w:tc>
          <w:tcPr>
            <w:tcW w:w="2200" w:type="dxa"/>
            <w:vAlign w:val="bottom"/>
            <w:tcBorders>
              <w:right w:val="single" w:sz="8" w:color="B6B6B6"/>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Approximate Dollar Value)</w:t>
            </w:r>
          </w:p>
        </w:tc>
      </w:tr>
      <w:tr>
        <w:trPr>
          <w:trHeight w:val="196"/>
        </w:trPr>
        <w:tc>
          <w:tcPr>
            <w:tcW w:w="2480" w:type="dxa"/>
            <w:vAlign w:val="bottom"/>
            <w:tcBorders>
              <w:left w:val="single" w:sz="8" w:color="B6B6B6"/>
              <w:right w:val="single" w:sz="8" w:color="B6B6B6"/>
            </w:tcBorders>
          </w:tcPr>
          <w:p>
            <w:pPr>
              <w:spacing w:after="0"/>
              <w:rPr>
                <w:sz w:val="17"/>
                <w:szCs w:val="17"/>
                <w:color w:val="auto"/>
              </w:rPr>
            </w:pPr>
          </w:p>
        </w:tc>
        <w:tc>
          <w:tcPr>
            <w:tcW w:w="2200" w:type="dxa"/>
            <w:vAlign w:val="bottom"/>
            <w:tcBorders>
              <w:right w:val="single" w:sz="8" w:color="B6B6B6"/>
            </w:tcBorders>
          </w:tcPr>
          <w:p>
            <w:pPr>
              <w:spacing w:after="0"/>
              <w:rPr>
                <w:sz w:val="17"/>
                <w:szCs w:val="17"/>
                <w:color w:val="auto"/>
              </w:rPr>
            </w:pPr>
          </w:p>
        </w:tc>
        <w:tc>
          <w:tcPr>
            <w:tcW w:w="2200" w:type="dxa"/>
            <w:vAlign w:val="bottom"/>
            <w:tcBorders>
              <w:right w:val="single" w:sz="8" w:color="B6B6B6"/>
            </w:tcBorders>
          </w:tcPr>
          <w:p>
            <w:pPr>
              <w:spacing w:after="0"/>
              <w:rPr>
                <w:sz w:val="17"/>
                <w:szCs w:val="17"/>
                <w:color w:val="auto"/>
              </w:rPr>
            </w:pPr>
          </w:p>
        </w:tc>
        <w:tc>
          <w:tcPr>
            <w:tcW w:w="2180" w:type="dxa"/>
            <w:vAlign w:val="bottom"/>
            <w:tcBorders>
              <w:right w:val="single" w:sz="8" w:color="B6B6B6"/>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Publicly Announced Plans</w:t>
            </w:r>
          </w:p>
        </w:tc>
        <w:tc>
          <w:tcPr>
            <w:tcW w:w="2200" w:type="dxa"/>
            <w:vAlign w:val="bottom"/>
            <w:tcBorders>
              <w:right w:val="single" w:sz="8" w:color="B6B6B6"/>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of Shares (or Units) that</w:t>
            </w:r>
          </w:p>
        </w:tc>
      </w:tr>
      <w:tr>
        <w:trPr>
          <w:trHeight w:val="196"/>
        </w:trPr>
        <w:tc>
          <w:tcPr>
            <w:tcW w:w="2480" w:type="dxa"/>
            <w:vAlign w:val="bottom"/>
            <w:tcBorders>
              <w:left w:val="single" w:sz="8" w:color="B6B6B6"/>
              <w:right w:val="single" w:sz="8" w:color="B6B6B6"/>
            </w:tcBorders>
          </w:tcPr>
          <w:p>
            <w:pPr>
              <w:spacing w:after="0"/>
              <w:rPr>
                <w:sz w:val="17"/>
                <w:szCs w:val="17"/>
                <w:color w:val="auto"/>
              </w:rPr>
            </w:pPr>
          </w:p>
        </w:tc>
        <w:tc>
          <w:tcPr>
            <w:tcW w:w="2200" w:type="dxa"/>
            <w:vAlign w:val="bottom"/>
            <w:tcBorders>
              <w:right w:val="single" w:sz="8" w:color="B6B6B6"/>
            </w:tcBorders>
          </w:tcPr>
          <w:p>
            <w:pPr>
              <w:spacing w:after="0"/>
              <w:rPr>
                <w:sz w:val="17"/>
                <w:szCs w:val="17"/>
                <w:color w:val="auto"/>
              </w:rPr>
            </w:pPr>
          </w:p>
        </w:tc>
        <w:tc>
          <w:tcPr>
            <w:tcW w:w="2200" w:type="dxa"/>
            <w:vAlign w:val="bottom"/>
            <w:tcBorders>
              <w:right w:val="single" w:sz="8" w:color="B6B6B6"/>
            </w:tcBorders>
          </w:tcPr>
          <w:p>
            <w:pPr>
              <w:spacing w:after="0"/>
              <w:rPr>
                <w:sz w:val="17"/>
                <w:szCs w:val="17"/>
                <w:color w:val="auto"/>
              </w:rPr>
            </w:pPr>
          </w:p>
        </w:tc>
        <w:tc>
          <w:tcPr>
            <w:tcW w:w="2180" w:type="dxa"/>
            <w:vAlign w:val="bottom"/>
            <w:tcBorders>
              <w:right w:val="single" w:sz="8" w:color="B6B6B6"/>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or Programs</w:t>
            </w:r>
          </w:p>
        </w:tc>
        <w:tc>
          <w:tcPr>
            <w:tcW w:w="2200" w:type="dxa"/>
            <w:vAlign w:val="bottom"/>
            <w:tcBorders>
              <w:right w:val="single" w:sz="8" w:color="B6B6B6"/>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May Yet Be Purchased</w:t>
            </w:r>
          </w:p>
        </w:tc>
      </w:tr>
      <w:tr>
        <w:trPr>
          <w:trHeight w:val="196"/>
        </w:trPr>
        <w:tc>
          <w:tcPr>
            <w:tcW w:w="2480" w:type="dxa"/>
            <w:vAlign w:val="bottom"/>
            <w:tcBorders>
              <w:left w:val="single" w:sz="8" w:color="B6B6B6"/>
              <w:right w:val="single" w:sz="8" w:color="B6B6B6"/>
            </w:tcBorders>
          </w:tcPr>
          <w:p>
            <w:pPr>
              <w:spacing w:after="0"/>
              <w:rPr>
                <w:sz w:val="17"/>
                <w:szCs w:val="17"/>
                <w:color w:val="auto"/>
              </w:rPr>
            </w:pPr>
          </w:p>
        </w:tc>
        <w:tc>
          <w:tcPr>
            <w:tcW w:w="2200" w:type="dxa"/>
            <w:vAlign w:val="bottom"/>
            <w:tcBorders>
              <w:right w:val="single" w:sz="8" w:color="B6B6B6"/>
            </w:tcBorders>
          </w:tcPr>
          <w:p>
            <w:pPr>
              <w:spacing w:after="0"/>
              <w:rPr>
                <w:sz w:val="17"/>
                <w:szCs w:val="17"/>
                <w:color w:val="auto"/>
              </w:rPr>
            </w:pPr>
          </w:p>
        </w:tc>
        <w:tc>
          <w:tcPr>
            <w:tcW w:w="2200" w:type="dxa"/>
            <w:vAlign w:val="bottom"/>
            <w:tcBorders>
              <w:right w:val="single" w:sz="8" w:color="B6B6B6"/>
            </w:tcBorders>
          </w:tcPr>
          <w:p>
            <w:pPr>
              <w:spacing w:after="0"/>
              <w:rPr>
                <w:sz w:val="17"/>
                <w:szCs w:val="17"/>
                <w:color w:val="auto"/>
              </w:rPr>
            </w:pPr>
          </w:p>
        </w:tc>
        <w:tc>
          <w:tcPr>
            <w:tcW w:w="2180" w:type="dxa"/>
            <w:vAlign w:val="bottom"/>
            <w:tcBorders>
              <w:right w:val="single" w:sz="8" w:color="B6B6B6"/>
            </w:tcBorders>
          </w:tcPr>
          <w:p>
            <w:pPr>
              <w:spacing w:after="0"/>
              <w:rPr>
                <w:sz w:val="17"/>
                <w:szCs w:val="17"/>
                <w:color w:val="auto"/>
              </w:rPr>
            </w:pPr>
          </w:p>
        </w:tc>
        <w:tc>
          <w:tcPr>
            <w:tcW w:w="2200" w:type="dxa"/>
            <w:vAlign w:val="bottom"/>
            <w:tcBorders>
              <w:right w:val="single" w:sz="8" w:color="B6B6B6"/>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Under the Plans or</w:t>
            </w:r>
          </w:p>
        </w:tc>
      </w:tr>
      <w:tr>
        <w:trPr>
          <w:trHeight w:val="229"/>
        </w:trPr>
        <w:tc>
          <w:tcPr>
            <w:tcW w:w="2480" w:type="dxa"/>
            <w:vAlign w:val="bottom"/>
            <w:tcBorders>
              <w:left w:val="single" w:sz="8" w:color="B6B6B6"/>
              <w:right w:val="single" w:sz="8" w:color="B6B6B6"/>
            </w:tcBorders>
          </w:tcPr>
          <w:p>
            <w:pPr>
              <w:spacing w:after="0"/>
              <w:rPr>
                <w:sz w:val="19"/>
                <w:szCs w:val="19"/>
                <w:color w:val="auto"/>
              </w:rPr>
            </w:pPr>
          </w:p>
        </w:tc>
        <w:tc>
          <w:tcPr>
            <w:tcW w:w="2200" w:type="dxa"/>
            <w:vAlign w:val="bottom"/>
            <w:tcBorders>
              <w:right w:val="single" w:sz="8" w:color="B6B6B6"/>
            </w:tcBorders>
          </w:tcPr>
          <w:p>
            <w:pPr>
              <w:spacing w:after="0"/>
              <w:rPr>
                <w:sz w:val="19"/>
                <w:szCs w:val="19"/>
                <w:color w:val="auto"/>
              </w:rPr>
            </w:pPr>
          </w:p>
        </w:tc>
        <w:tc>
          <w:tcPr>
            <w:tcW w:w="2200" w:type="dxa"/>
            <w:vAlign w:val="bottom"/>
            <w:tcBorders>
              <w:right w:val="single" w:sz="8" w:color="B6B6B6"/>
            </w:tcBorders>
          </w:tcPr>
          <w:p>
            <w:pPr>
              <w:spacing w:after="0"/>
              <w:rPr>
                <w:sz w:val="19"/>
                <w:szCs w:val="19"/>
                <w:color w:val="auto"/>
              </w:rPr>
            </w:pPr>
          </w:p>
        </w:tc>
        <w:tc>
          <w:tcPr>
            <w:tcW w:w="2180" w:type="dxa"/>
            <w:vAlign w:val="bottom"/>
            <w:tcBorders>
              <w:right w:val="single" w:sz="8" w:color="B6B6B6"/>
            </w:tcBorders>
          </w:tcPr>
          <w:p>
            <w:pPr>
              <w:spacing w:after="0"/>
              <w:rPr>
                <w:sz w:val="19"/>
                <w:szCs w:val="19"/>
                <w:color w:val="auto"/>
              </w:rPr>
            </w:pPr>
          </w:p>
        </w:tc>
        <w:tc>
          <w:tcPr>
            <w:tcW w:w="2200" w:type="dxa"/>
            <w:vAlign w:val="bottom"/>
            <w:tcBorders>
              <w:right w:val="single" w:sz="8" w:color="B6B6B6"/>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Programs</w:t>
            </w:r>
          </w:p>
        </w:tc>
      </w:tr>
      <w:tr>
        <w:trPr>
          <w:trHeight w:val="26"/>
        </w:trPr>
        <w:tc>
          <w:tcPr>
            <w:tcW w:w="2480" w:type="dxa"/>
            <w:vAlign w:val="bottom"/>
            <w:tcBorders>
              <w:left w:val="single" w:sz="8" w:color="B6B6B6"/>
              <w:bottom w:val="single" w:sz="8" w:color="B6B6B6"/>
              <w:right w:val="single" w:sz="8" w:color="B6B6B6"/>
            </w:tcBorders>
          </w:tcPr>
          <w:p>
            <w:pPr>
              <w:spacing w:after="0"/>
              <w:rPr>
                <w:sz w:val="2"/>
                <w:szCs w:val="2"/>
                <w:color w:val="auto"/>
              </w:rPr>
            </w:pPr>
          </w:p>
        </w:tc>
        <w:tc>
          <w:tcPr>
            <w:tcW w:w="2200" w:type="dxa"/>
            <w:vAlign w:val="bottom"/>
            <w:tcBorders>
              <w:bottom w:val="single" w:sz="8" w:color="B6B6B6"/>
              <w:right w:val="single" w:sz="8" w:color="B6B6B6"/>
            </w:tcBorders>
          </w:tcPr>
          <w:p>
            <w:pPr>
              <w:spacing w:after="0"/>
              <w:rPr>
                <w:sz w:val="2"/>
                <w:szCs w:val="2"/>
                <w:color w:val="auto"/>
              </w:rPr>
            </w:pPr>
          </w:p>
        </w:tc>
        <w:tc>
          <w:tcPr>
            <w:tcW w:w="2200" w:type="dxa"/>
            <w:vAlign w:val="bottom"/>
            <w:tcBorders>
              <w:bottom w:val="single" w:sz="8" w:color="B6B6B6"/>
              <w:right w:val="single" w:sz="8" w:color="B6B6B6"/>
            </w:tcBorders>
          </w:tcPr>
          <w:p>
            <w:pPr>
              <w:spacing w:after="0"/>
              <w:rPr>
                <w:sz w:val="2"/>
                <w:szCs w:val="2"/>
                <w:color w:val="auto"/>
              </w:rPr>
            </w:pPr>
          </w:p>
        </w:tc>
        <w:tc>
          <w:tcPr>
            <w:tcW w:w="2180" w:type="dxa"/>
            <w:vAlign w:val="bottom"/>
            <w:tcBorders>
              <w:bottom w:val="single" w:sz="8" w:color="B6B6B6"/>
              <w:right w:val="single" w:sz="8" w:color="B6B6B6"/>
            </w:tcBorders>
          </w:tcPr>
          <w:p>
            <w:pPr>
              <w:spacing w:after="0"/>
              <w:rPr>
                <w:sz w:val="2"/>
                <w:szCs w:val="2"/>
                <w:color w:val="auto"/>
              </w:rPr>
            </w:pPr>
          </w:p>
        </w:tc>
        <w:tc>
          <w:tcPr>
            <w:tcW w:w="2200" w:type="dxa"/>
            <w:vAlign w:val="bottom"/>
            <w:tcBorders>
              <w:bottom w:val="single" w:sz="8" w:color="B6B6B6"/>
              <w:right w:val="single" w:sz="8" w:color="B6B6B6"/>
            </w:tcBorders>
          </w:tcPr>
          <w:p>
            <w:pPr>
              <w:spacing w:after="0"/>
              <w:rPr>
                <w:sz w:val="2"/>
                <w:szCs w:val="2"/>
                <w:color w:val="auto"/>
              </w:rPr>
            </w:pPr>
          </w:p>
        </w:tc>
      </w:tr>
      <w:tr>
        <w:trPr>
          <w:trHeight w:val="234"/>
        </w:trPr>
        <w:tc>
          <w:tcPr>
            <w:tcW w:w="2480" w:type="dxa"/>
            <w:vAlign w:val="bottom"/>
            <w:tcBorders>
              <w:left w:val="single" w:sz="8" w:color="B6B6B6"/>
              <w:bottom w:val="single" w:sz="8" w:color="B6B6B6"/>
              <w:right w:val="single" w:sz="8" w:color="B6B6B6"/>
            </w:tcBorders>
          </w:tcPr>
          <w:p>
            <w:pPr>
              <w:ind w:left="40"/>
              <w:spacing w:after="0"/>
              <w:rPr>
                <w:sz w:val="20"/>
                <w:szCs w:val="20"/>
                <w:color w:val="auto"/>
              </w:rPr>
            </w:pPr>
            <w:r>
              <w:rPr>
                <w:rFonts w:ascii="Times New Roman" w:cs="Times New Roman" w:eastAsia="Times New Roman" w:hAnsi="Times New Roman"/>
                <w:sz w:val="17"/>
                <w:szCs w:val="17"/>
                <w:color w:val="auto"/>
              </w:rPr>
              <w:t>January 1 – 31, 2026</w:t>
            </w:r>
          </w:p>
        </w:tc>
        <w:tc>
          <w:tcPr>
            <w:tcW w:w="2200" w:type="dxa"/>
            <w:vAlign w:val="bottom"/>
            <w:tcBorders>
              <w:bottom w:val="single" w:sz="8" w:color="B6B6B6"/>
              <w:right w:val="single" w:sz="8" w:color="B6B6B6"/>
            </w:tcBorders>
          </w:tcPr>
          <w:p>
            <w:pPr>
              <w:jc w:val="right"/>
              <w:spacing w:after="0"/>
              <w:rPr>
                <w:sz w:val="20"/>
                <w:szCs w:val="20"/>
                <w:color w:val="auto"/>
              </w:rPr>
            </w:pPr>
            <w:r>
              <w:rPr>
                <w:rFonts w:ascii="Arial" w:cs="Arial" w:eastAsia="Arial" w:hAnsi="Arial"/>
                <w:sz w:val="17"/>
                <w:szCs w:val="17"/>
                <w:color w:val="auto"/>
              </w:rPr>
              <w:t>—</w:t>
            </w:r>
          </w:p>
        </w:tc>
        <w:tc>
          <w:tcPr>
            <w:tcW w:w="2200" w:type="dxa"/>
            <w:vAlign w:val="bottom"/>
            <w:tcBorders>
              <w:bottom w:val="single" w:sz="8" w:color="B6B6B6"/>
              <w:right w:val="single" w:sz="8" w:color="B6B6B6"/>
            </w:tcBorders>
          </w:tcPr>
          <w:p>
            <w:pPr>
              <w:jc w:val="right"/>
              <w:spacing w:after="0"/>
              <w:rPr>
                <w:sz w:val="20"/>
                <w:szCs w:val="20"/>
                <w:color w:val="auto"/>
              </w:rPr>
            </w:pPr>
            <w:r>
              <w:rPr>
                <w:rFonts w:ascii="Arial" w:cs="Arial" w:eastAsia="Arial" w:hAnsi="Arial"/>
                <w:sz w:val="17"/>
                <w:szCs w:val="17"/>
                <w:color w:val="auto"/>
              </w:rPr>
              <w:t>—</w:t>
            </w:r>
          </w:p>
        </w:tc>
        <w:tc>
          <w:tcPr>
            <w:tcW w:w="2180" w:type="dxa"/>
            <w:vAlign w:val="bottom"/>
            <w:tcBorders>
              <w:bottom w:val="single" w:sz="8" w:color="B6B6B6"/>
              <w:right w:val="single" w:sz="8" w:color="B6B6B6"/>
            </w:tcBorders>
          </w:tcPr>
          <w:p>
            <w:pPr>
              <w:ind w:left="1980"/>
              <w:spacing w:after="0"/>
              <w:rPr>
                <w:sz w:val="20"/>
                <w:szCs w:val="20"/>
                <w:color w:val="auto"/>
              </w:rPr>
            </w:pPr>
            <w:r>
              <w:rPr>
                <w:rFonts w:ascii="Arial" w:cs="Arial" w:eastAsia="Arial" w:hAnsi="Arial"/>
                <w:sz w:val="17"/>
                <w:szCs w:val="17"/>
                <w:color w:val="auto"/>
                <w:w w:val="93"/>
              </w:rPr>
              <w:t>—</w:t>
            </w:r>
          </w:p>
        </w:tc>
        <w:tc>
          <w:tcPr>
            <w:tcW w:w="2200" w:type="dxa"/>
            <w:vAlign w:val="bottom"/>
            <w:tcBorders>
              <w:bottom w:val="single" w:sz="8" w:color="B6B6B6"/>
              <w:right w:val="single" w:sz="8" w:color="B6B6B6"/>
            </w:tcBorders>
          </w:tcPr>
          <w:p>
            <w:pPr>
              <w:ind w:left="2000"/>
              <w:spacing w:after="0"/>
              <w:rPr>
                <w:sz w:val="20"/>
                <w:szCs w:val="20"/>
                <w:color w:val="auto"/>
              </w:rPr>
            </w:pPr>
            <w:r>
              <w:rPr>
                <w:rFonts w:ascii="Arial" w:cs="Arial" w:eastAsia="Arial" w:hAnsi="Arial"/>
                <w:sz w:val="17"/>
                <w:szCs w:val="17"/>
                <w:color w:val="auto"/>
                <w:w w:val="93"/>
              </w:rPr>
              <w:t>—</w:t>
            </w:r>
          </w:p>
        </w:tc>
      </w:tr>
      <w:tr>
        <w:trPr>
          <w:trHeight w:val="241"/>
        </w:trPr>
        <w:tc>
          <w:tcPr>
            <w:tcW w:w="2480" w:type="dxa"/>
            <w:vAlign w:val="bottom"/>
            <w:tcBorders>
              <w:left w:val="single" w:sz="8" w:color="B6B6B6"/>
              <w:bottom w:val="single" w:sz="8" w:color="B6B6B6"/>
              <w:right w:val="single" w:sz="8" w:color="B6B6B6"/>
            </w:tcBorders>
          </w:tcPr>
          <w:p>
            <w:pPr>
              <w:ind w:left="40"/>
              <w:spacing w:after="0"/>
              <w:rPr>
                <w:sz w:val="20"/>
                <w:szCs w:val="20"/>
                <w:color w:val="auto"/>
              </w:rPr>
            </w:pPr>
            <w:r>
              <w:rPr>
                <w:rFonts w:ascii="Times New Roman" w:cs="Times New Roman" w:eastAsia="Times New Roman" w:hAnsi="Times New Roman"/>
                <w:sz w:val="17"/>
                <w:szCs w:val="17"/>
                <w:color w:val="auto"/>
              </w:rPr>
              <w:t>February 1 – 28, 2026</w:t>
            </w:r>
          </w:p>
        </w:tc>
        <w:tc>
          <w:tcPr>
            <w:tcW w:w="2200" w:type="dxa"/>
            <w:vAlign w:val="bottom"/>
            <w:tcBorders>
              <w:bottom w:val="single" w:sz="8" w:color="B6B6B6"/>
              <w:right w:val="single" w:sz="8" w:color="B6B6B6"/>
            </w:tcBorders>
          </w:tcPr>
          <w:p>
            <w:pPr>
              <w:jc w:val="right"/>
              <w:spacing w:after="0"/>
              <w:rPr>
                <w:sz w:val="20"/>
                <w:szCs w:val="20"/>
                <w:color w:val="auto"/>
              </w:rPr>
            </w:pPr>
            <w:r>
              <w:rPr>
                <w:rFonts w:ascii="Arial" w:cs="Arial" w:eastAsia="Arial" w:hAnsi="Arial"/>
                <w:sz w:val="17"/>
                <w:szCs w:val="17"/>
                <w:color w:val="auto"/>
              </w:rPr>
              <w:t>—</w:t>
            </w:r>
          </w:p>
        </w:tc>
        <w:tc>
          <w:tcPr>
            <w:tcW w:w="2200" w:type="dxa"/>
            <w:vAlign w:val="bottom"/>
            <w:tcBorders>
              <w:bottom w:val="single" w:sz="8" w:color="B6B6B6"/>
              <w:right w:val="single" w:sz="8" w:color="B6B6B6"/>
            </w:tcBorders>
          </w:tcPr>
          <w:p>
            <w:pPr>
              <w:jc w:val="right"/>
              <w:spacing w:after="0"/>
              <w:rPr>
                <w:sz w:val="20"/>
                <w:szCs w:val="20"/>
                <w:color w:val="auto"/>
              </w:rPr>
            </w:pPr>
            <w:r>
              <w:rPr>
                <w:rFonts w:ascii="Arial" w:cs="Arial" w:eastAsia="Arial" w:hAnsi="Arial"/>
                <w:sz w:val="17"/>
                <w:szCs w:val="17"/>
                <w:color w:val="auto"/>
              </w:rPr>
              <w:t>—</w:t>
            </w:r>
          </w:p>
        </w:tc>
        <w:tc>
          <w:tcPr>
            <w:tcW w:w="2180" w:type="dxa"/>
            <w:vAlign w:val="bottom"/>
            <w:tcBorders>
              <w:bottom w:val="single" w:sz="8" w:color="B6B6B6"/>
              <w:right w:val="single" w:sz="8" w:color="B6B6B6"/>
            </w:tcBorders>
          </w:tcPr>
          <w:p>
            <w:pPr>
              <w:ind w:left="1980"/>
              <w:spacing w:after="0"/>
              <w:rPr>
                <w:sz w:val="20"/>
                <w:szCs w:val="20"/>
                <w:color w:val="auto"/>
              </w:rPr>
            </w:pPr>
            <w:r>
              <w:rPr>
                <w:rFonts w:ascii="Arial" w:cs="Arial" w:eastAsia="Arial" w:hAnsi="Arial"/>
                <w:sz w:val="17"/>
                <w:szCs w:val="17"/>
                <w:color w:val="auto"/>
                <w:w w:val="93"/>
              </w:rPr>
              <w:t>—</w:t>
            </w:r>
          </w:p>
        </w:tc>
        <w:tc>
          <w:tcPr>
            <w:tcW w:w="2200" w:type="dxa"/>
            <w:vAlign w:val="bottom"/>
            <w:tcBorders>
              <w:bottom w:val="single" w:sz="8" w:color="B6B6B6"/>
              <w:right w:val="single" w:sz="8" w:color="B6B6B6"/>
            </w:tcBorders>
          </w:tcPr>
          <w:p>
            <w:pPr>
              <w:ind w:left="2000"/>
              <w:spacing w:after="0"/>
              <w:rPr>
                <w:sz w:val="20"/>
                <w:szCs w:val="20"/>
                <w:color w:val="auto"/>
              </w:rPr>
            </w:pPr>
            <w:r>
              <w:rPr>
                <w:rFonts w:ascii="Arial" w:cs="Arial" w:eastAsia="Arial" w:hAnsi="Arial"/>
                <w:sz w:val="17"/>
                <w:szCs w:val="17"/>
                <w:color w:val="auto"/>
                <w:w w:val="93"/>
              </w:rPr>
              <w:t>—</w:t>
            </w:r>
          </w:p>
        </w:tc>
      </w:tr>
      <w:tr>
        <w:trPr>
          <w:trHeight w:val="248"/>
        </w:trPr>
        <w:tc>
          <w:tcPr>
            <w:tcW w:w="2480" w:type="dxa"/>
            <w:vAlign w:val="bottom"/>
            <w:tcBorders>
              <w:left w:val="single" w:sz="8" w:color="B6B6B6"/>
              <w:bottom w:val="single" w:sz="8" w:color="B6B6B6"/>
              <w:right w:val="single" w:sz="8" w:color="B6B6B6"/>
            </w:tcBorders>
          </w:tcPr>
          <w:p>
            <w:pPr>
              <w:ind w:left="40"/>
              <w:spacing w:after="0"/>
              <w:rPr>
                <w:sz w:val="20"/>
                <w:szCs w:val="20"/>
                <w:color w:val="auto"/>
              </w:rPr>
            </w:pPr>
            <w:r>
              <w:rPr>
                <w:rFonts w:ascii="Times New Roman" w:cs="Times New Roman" w:eastAsia="Times New Roman" w:hAnsi="Times New Roman"/>
                <w:sz w:val="17"/>
                <w:szCs w:val="17"/>
                <w:color w:val="auto"/>
              </w:rPr>
              <w:t>March 1 – 31, 2026</w:t>
            </w:r>
          </w:p>
        </w:tc>
        <w:tc>
          <w:tcPr>
            <w:tcW w:w="2200" w:type="dxa"/>
            <w:vAlign w:val="bottom"/>
            <w:tcBorders>
              <w:bottom w:val="single" w:sz="8" w:color="B6B6B6"/>
              <w:right w:val="single" w:sz="8" w:color="B6B6B6"/>
            </w:tcBorders>
          </w:tcPr>
          <w:p>
            <w:pPr>
              <w:jc w:val="right"/>
              <w:ind w:right="13"/>
              <w:spacing w:after="0"/>
              <w:rPr>
                <w:sz w:val="20"/>
                <w:szCs w:val="20"/>
                <w:color w:val="auto"/>
              </w:rPr>
            </w:pPr>
            <w:r>
              <w:rPr>
                <w:rFonts w:ascii="Times New Roman" w:cs="Times New Roman" w:eastAsia="Times New Roman" w:hAnsi="Times New Roman"/>
                <w:sz w:val="17"/>
                <w:szCs w:val="17"/>
                <w:color w:val="auto"/>
              </w:rPr>
              <w:t>116,936</w:t>
            </w:r>
          </w:p>
        </w:tc>
        <w:tc>
          <w:tcPr>
            <w:tcW w:w="2200" w:type="dxa"/>
            <w:vAlign w:val="bottom"/>
            <w:tcBorders>
              <w:bottom w:val="single" w:sz="8" w:color="B6B6B6"/>
              <w:right w:val="single" w:sz="8" w:color="B6B6B6"/>
            </w:tcBorders>
          </w:tcPr>
          <w:p>
            <w:pPr>
              <w:jc w:val="right"/>
              <w:spacing w:after="0"/>
              <w:rPr>
                <w:sz w:val="20"/>
                <w:szCs w:val="20"/>
                <w:color w:val="auto"/>
              </w:rPr>
            </w:pPr>
            <w:r>
              <w:rPr>
                <w:rFonts w:ascii="Times New Roman" w:cs="Times New Roman" w:eastAsia="Times New Roman" w:hAnsi="Times New Roman"/>
                <w:sz w:val="17"/>
                <w:szCs w:val="17"/>
                <w:color w:val="auto"/>
              </w:rPr>
              <w:t>$19.41</w:t>
            </w:r>
          </w:p>
        </w:tc>
        <w:tc>
          <w:tcPr>
            <w:tcW w:w="2180" w:type="dxa"/>
            <w:vAlign w:val="bottom"/>
            <w:tcBorders>
              <w:bottom w:val="single" w:sz="8" w:color="B6B6B6"/>
              <w:right w:val="single" w:sz="8" w:color="B6B6B6"/>
            </w:tcBorders>
          </w:tcPr>
          <w:p>
            <w:pPr>
              <w:ind w:left="1980"/>
              <w:spacing w:after="0"/>
              <w:rPr>
                <w:sz w:val="20"/>
                <w:szCs w:val="20"/>
                <w:color w:val="auto"/>
              </w:rPr>
            </w:pPr>
            <w:r>
              <w:rPr>
                <w:rFonts w:ascii="Arial" w:cs="Arial" w:eastAsia="Arial" w:hAnsi="Arial"/>
                <w:sz w:val="17"/>
                <w:szCs w:val="17"/>
                <w:color w:val="auto"/>
                <w:w w:val="93"/>
              </w:rPr>
              <w:t>—</w:t>
            </w:r>
          </w:p>
        </w:tc>
        <w:tc>
          <w:tcPr>
            <w:tcW w:w="2200" w:type="dxa"/>
            <w:vAlign w:val="bottom"/>
            <w:tcBorders>
              <w:bottom w:val="single" w:sz="8" w:color="B6B6B6"/>
              <w:right w:val="single" w:sz="8" w:color="B6B6B6"/>
            </w:tcBorders>
          </w:tcPr>
          <w:p>
            <w:pPr>
              <w:ind w:left="2000"/>
              <w:spacing w:after="0"/>
              <w:rPr>
                <w:sz w:val="20"/>
                <w:szCs w:val="20"/>
                <w:color w:val="auto"/>
              </w:rPr>
            </w:pPr>
            <w:r>
              <w:rPr>
                <w:rFonts w:ascii="Arial" w:cs="Arial" w:eastAsia="Arial" w:hAnsi="Arial"/>
                <w:sz w:val="17"/>
                <w:szCs w:val="17"/>
                <w:color w:val="auto"/>
                <w:w w:val="93"/>
              </w:rPr>
              <w:t>—</w:t>
            </w:r>
          </w:p>
        </w:tc>
      </w:tr>
      <w:tr>
        <w:trPr>
          <w:trHeight w:val="241"/>
        </w:trPr>
        <w:tc>
          <w:tcPr>
            <w:tcW w:w="2480" w:type="dxa"/>
            <w:vAlign w:val="bottom"/>
            <w:tcBorders>
              <w:left w:val="single" w:sz="8" w:color="B6B6B6"/>
              <w:bottom w:val="single" w:sz="8" w:color="B6B6B6"/>
              <w:right w:val="single" w:sz="8" w:color="B6B6B6"/>
            </w:tcBorders>
          </w:tcPr>
          <w:p>
            <w:pPr>
              <w:ind w:left="40"/>
              <w:spacing w:after="0"/>
              <w:rPr>
                <w:sz w:val="20"/>
                <w:szCs w:val="20"/>
                <w:color w:val="auto"/>
              </w:rPr>
            </w:pPr>
            <w:r>
              <w:rPr>
                <w:rFonts w:ascii="Times New Roman" w:cs="Times New Roman" w:eastAsia="Times New Roman" w:hAnsi="Times New Roman"/>
                <w:sz w:val="17"/>
                <w:szCs w:val="17"/>
                <w:color w:val="auto"/>
              </w:rPr>
              <w:t>Total</w:t>
            </w:r>
          </w:p>
        </w:tc>
        <w:tc>
          <w:tcPr>
            <w:tcW w:w="2200" w:type="dxa"/>
            <w:vAlign w:val="bottom"/>
            <w:tcBorders>
              <w:bottom w:val="single" w:sz="8" w:color="B6B6B6"/>
              <w:right w:val="single" w:sz="8" w:color="B6B6B6"/>
            </w:tcBorders>
          </w:tcPr>
          <w:p>
            <w:pPr>
              <w:jc w:val="right"/>
              <w:ind w:right="13"/>
              <w:spacing w:after="0"/>
              <w:rPr>
                <w:sz w:val="20"/>
                <w:szCs w:val="20"/>
                <w:color w:val="auto"/>
              </w:rPr>
            </w:pPr>
            <w:r>
              <w:rPr>
                <w:rFonts w:ascii="Times New Roman" w:cs="Times New Roman" w:eastAsia="Times New Roman" w:hAnsi="Times New Roman"/>
                <w:sz w:val="17"/>
                <w:szCs w:val="17"/>
                <w:color w:val="auto"/>
              </w:rPr>
              <w:t>116,936</w:t>
            </w:r>
          </w:p>
        </w:tc>
        <w:tc>
          <w:tcPr>
            <w:tcW w:w="2200" w:type="dxa"/>
            <w:vAlign w:val="bottom"/>
            <w:tcBorders>
              <w:bottom w:val="single" w:sz="8" w:color="B6B6B6"/>
              <w:right w:val="single" w:sz="8" w:color="B6B6B6"/>
            </w:tcBorders>
          </w:tcPr>
          <w:p>
            <w:pPr>
              <w:spacing w:after="0"/>
              <w:rPr>
                <w:sz w:val="20"/>
                <w:szCs w:val="20"/>
                <w:color w:val="auto"/>
              </w:rPr>
            </w:pPr>
          </w:p>
        </w:tc>
        <w:tc>
          <w:tcPr>
            <w:tcW w:w="2180" w:type="dxa"/>
            <w:vAlign w:val="bottom"/>
            <w:tcBorders>
              <w:bottom w:val="single" w:sz="8" w:color="B6B6B6"/>
              <w:right w:val="single" w:sz="8" w:color="B6B6B6"/>
            </w:tcBorders>
          </w:tcPr>
          <w:p>
            <w:pPr>
              <w:spacing w:after="0"/>
              <w:rPr>
                <w:sz w:val="20"/>
                <w:szCs w:val="20"/>
                <w:color w:val="auto"/>
              </w:rPr>
            </w:pPr>
          </w:p>
        </w:tc>
        <w:tc>
          <w:tcPr>
            <w:tcW w:w="2200" w:type="dxa"/>
            <w:vAlign w:val="bottom"/>
            <w:tcBorders>
              <w:bottom w:val="single" w:sz="8" w:color="B6B6B6"/>
              <w:right w:val="single" w:sz="8" w:color="B6B6B6"/>
            </w:tcBorders>
          </w:tcPr>
          <w:p>
            <w:pPr>
              <w:spacing w:after="0"/>
              <w:rPr>
                <w:sz w:val="20"/>
                <w:szCs w:val="20"/>
                <w:color w:val="auto"/>
              </w:rPr>
            </w:pPr>
          </w:p>
        </w:tc>
      </w:tr>
    </w:tbl>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None.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None.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86" w:lineRule="exact"/>
        <w:rPr>
          <w:sz w:val="20"/>
          <w:szCs w:val="20"/>
          <w:color w:val="auto"/>
        </w:rPr>
      </w:pPr>
    </w:p>
    <w:p>
      <w:pPr>
        <w:ind w:right="80" w:firstLine="470"/>
        <w:spacing w:after="0" w:line="343" w:lineRule="auto"/>
        <w:rPr>
          <w:sz w:val="20"/>
          <w:szCs w:val="20"/>
          <w:color w:val="auto"/>
        </w:rPr>
      </w:pPr>
      <w:r>
        <w:rPr>
          <w:rFonts w:ascii="Times New Roman" w:cs="Times New Roman" w:eastAsia="Times New Roman" w:hAnsi="Times New Roman"/>
          <w:sz w:val="17"/>
          <w:szCs w:val="17"/>
          <w:color w:val="auto"/>
        </w:rPr>
        <w:t>During the first quarter of 2026, none of the Company’s directors or executive officers (as defined in Rule 16a-1(f) under the Exchange Act) has adopted, modified, or terminated a Rule 10b5-1 trading arrangement or a non-Rule 10b5-1 trading arrangement (each as defined in Item 408 of Regulation S-K).</w:t>
      </w:r>
    </w:p>
    <w:p>
      <w:pPr>
        <w:spacing w:after="0" w:line="200" w:lineRule="exact"/>
        <w:rPr>
          <w:sz w:val="20"/>
          <w:szCs w:val="20"/>
          <w:color w:val="auto"/>
        </w:rPr>
      </w:pPr>
    </w:p>
    <w:p>
      <w:pPr>
        <w:spacing w:after="0" w:line="39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65405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29"/>
        </w:trPr>
        <w:tc>
          <w:tcPr>
            <w:tcW w:w="14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Item 6. Exhibits.</w:t>
            </w:r>
          </w:p>
        </w:tc>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6"/>
        </w:trPr>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7000" w:type="dxa"/>
            <w:vAlign w:val="bottom"/>
            <w:gridSpan w:val="14"/>
          </w:tcPr>
          <w:p>
            <w:pPr>
              <w:ind w:left="880"/>
              <w:spacing w:after="0"/>
              <w:rPr>
                <w:sz w:val="20"/>
                <w:szCs w:val="20"/>
                <w:color w:val="auto"/>
              </w:rPr>
            </w:pPr>
            <w:r>
              <w:rPr>
                <w:rFonts w:ascii="Times New Roman" w:cs="Times New Roman" w:eastAsia="Times New Roman" w:hAnsi="Times New Roman"/>
                <w:sz w:val="17"/>
                <w:szCs w:val="17"/>
                <w:b w:val="1"/>
                <w:bCs w:val="1"/>
                <w:color w:val="auto"/>
              </w:rPr>
              <w:t>Exhibit Index</w:t>
            </w:r>
          </w:p>
        </w:tc>
      </w:tr>
      <w:tr>
        <w:trPr>
          <w:trHeight w:val="450"/>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20" w:type="dxa"/>
            <w:vAlign w:val="bottom"/>
          </w:tcPr>
          <w:p>
            <w:pPr>
              <w:spacing w:after="0"/>
              <w:rPr>
                <w:sz w:val="19"/>
                <w:szCs w:val="19"/>
                <w:color w:val="auto"/>
              </w:rPr>
            </w:pPr>
          </w:p>
        </w:tc>
        <w:tc>
          <w:tcPr>
            <w:tcW w:w="9780" w:type="dxa"/>
            <w:vAlign w:val="bottom"/>
            <w:gridSpan w:val="15"/>
          </w:tcPr>
          <w:p>
            <w:pPr>
              <w:spacing w:after="0"/>
              <w:rPr>
                <w:sz w:val="20"/>
                <w:szCs w:val="20"/>
                <w:color w:val="auto"/>
              </w:rPr>
            </w:pPr>
            <w:r>
              <w:rPr>
                <w:rFonts w:ascii="Times New Roman" w:cs="Times New Roman" w:eastAsia="Times New Roman" w:hAnsi="Times New Roman"/>
                <w:sz w:val="17"/>
                <w:szCs w:val="17"/>
                <w:b w:val="1"/>
                <w:bCs w:val="1"/>
                <w:color w:val="auto"/>
              </w:rPr>
              <w:t>Exhibit Title</w:t>
            </w:r>
          </w:p>
        </w:tc>
      </w:tr>
      <w:tr>
        <w:trPr>
          <w:trHeight w:val="26"/>
        </w:trPr>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9"/>
        </w:trPr>
        <w:tc>
          <w:tcPr>
            <w:tcW w:w="136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auto"/>
              </w:rPr>
              <w:t>10.1#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80" w:type="dxa"/>
            <w:vAlign w:val="bottom"/>
            <w:gridSpan w:val="15"/>
          </w:tcPr>
          <w:p>
            <w:pPr>
              <w:spacing w:after="0" w:line="189" w:lineRule="exact"/>
              <w:rPr>
                <w:rFonts w:ascii="Times New Roman" w:cs="Times New Roman" w:eastAsia="Times New Roman" w:hAnsi="Times New Roman"/>
                <w:sz w:val="17"/>
                <w:szCs w:val="17"/>
                <w:color w:val="0000FF"/>
              </w:rPr>
            </w:pPr>
            <w:hyperlink r:id="rId49">
              <w:r>
                <w:rPr>
                  <w:rFonts w:ascii="Times New Roman" w:cs="Times New Roman" w:eastAsia="Times New Roman" w:hAnsi="Times New Roman"/>
                  <w:sz w:val="17"/>
                  <w:szCs w:val="17"/>
                  <w:color w:val="0000FF"/>
                </w:rPr>
                <w:t>Employment Agreement between Yajing Chen and Zai Lab (US) LLC dated February 24, 2026 (incorporated by reference to Exhibit 10.25</w:t>
              </w:r>
            </w:hyperlink>
          </w:p>
        </w:tc>
      </w:tr>
      <w:tr>
        <w:trPr>
          <w:trHeight w:val="176"/>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20" w:type="dxa"/>
            <w:vAlign w:val="bottom"/>
            <w:tcBorders>
              <w:top w:val="single" w:sz="8" w:color="0000FF"/>
              <w:bottom w:val="single" w:sz="8" w:color="0000FF"/>
            </w:tcBorders>
            <w:gridSpan w:val="7"/>
          </w:tcPr>
          <w:p>
            <w:pPr>
              <w:spacing w:after="0" w:line="176" w:lineRule="exact"/>
              <w:rPr>
                <w:rFonts w:ascii="Times New Roman" w:cs="Times New Roman" w:eastAsia="Times New Roman" w:hAnsi="Times New Roman"/>
                <w:sz w:val="17"/>
                <w:szCs w:val="17"/>
                <w:color w:val="0000FF"/>
              </w:rPr>
            </w:pPr>
            <w:hyperlink r:id="rId49">
              <w:r>
                <w:rPr>
                  <w:rFonts w:ascii="Times New Roman" w:cs="Times New Roman" w:eastAsia="Times New Roman" w:hAnsi="Times New Roman"/>
                  <w:sz w:val="17"/>
                  <w:szCs w:val="17"/>
                  <w:color w:val="0000FF"/>
                </w:rPr>
                <w:t>to our Annual Report on Form 10-K (File No. 001-38205) filed on February 26, 2026)</w:t>
              </w:r>
            </w:hyperlink>
          </w:p>
        </w:tc>
        <w:tc>
          <w:tcPr>
            <w:tcW w:w="3680" w:type="dxa"/>
            <w:vAlign w:val="bottom"/>
            <w:tcBorders>
              <w:top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1"/>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80" w:type="dxa"/>
            <w:vAlign w:val="bottom"/>
            <w:gridSpan w:val="15"/>
          </w:tcPr>
          <w:p>
            <w:pPr>
              <w:spacing w:after="0"/>
              <w:rPr>
                <w:rFonts w:ascii="Times New Roman" w:cs="Times New Roman" w:eastAsia="Times New Roman" w:hAnsi="Times New Roman"/>
                <w:sz w:val="17"/>
                <w:szCs w:val="17"/>
                <w:color w:val="0000FF"/>
              </w:rPr>
            </w:pPr>
            <w:hyperlink r:id="rId50">
              <w:r>
                <w:rPr>
                  <w:rFonts w:ascii="Times New Roman" w:cs="Times New Roman" w:eastAsia="Times New Roman" w:hAnsi="Times New Roman"/>
                  <w:sz w:val="17"/>
                  <w:szCs w:val="17"/>
                  <w:color w:val="0000FF"/>
                </w:rPr>
                <w:t>Amendment to Employment Agreement between Joshua Smiley and Zai Lab (US) LLC dated February 24, 2026 (incorporated by reference</w:t>
              </w:r>
            </w:hyperlink>
          </w:p>
        </w:tc>
      </w:tr>
      <w:tr>
        <w:trPr>
          <w:trHeight w:val="176"/>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tcBorders>
              <w:top w:val="single" w:sz="8" w:color="0000FF"/>
            </w:tcBorders>
            <w:gridSpan w:val="14"/>
          </w:tcPr>
          <w:p>
            <w:pPr>
              <w:spacing w:after="0" w:line="176" w:lineRule="exact"/>
              <w:rPr>
                <w:rFonts w:ascii="Times New Roman" w:cs="Times New Roman" w:eastAsia="Times New Roman" w:hAnsi="Times New Roman"/>
                <w:sz w:val="17"/>
                <w:szCs w:val="17"/>
                <w:color w:val="0000FF"/>
              </w:rPr>
            </w:pPr>
            <w:hyperlink r:id="rId50">
              <w:r>
                <w:rPr>
                  <w:rFonts w:ascii="Times New Roman" w:cs="Times New Roman" w:eastAsia="Times New Roman" w:hAnsi="Times New Roman"/>
                  <w:sz w:val="17"/>
                  <w:szCs w:val="17"/>
                  <w:color w:val="0000FF"/>
                </w:rPr>
                <w:t>to Exhibit 10.29 to our Annual Report on Form 10-K (File No. 001-38205) filed on February 26, 2026)</w:t>
              </w:r>
            </w:hyperlink>
          </w:p>
        </w:tc>
        <w:tc>
          <w:tcPr>
            <w:tcW w:w="20" w:type="dxa"/>
            <w:vAlign w:val="bottom"/>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41"/>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80" w:type="dxa"/>
            <w:vAlign w:val="bottom"/>
            <w:gridSpan w:val="15"/>
          </w:tcPr>
          <w:p>
            <w:pPr>
              <w:spacing w:after="0"/>
              <w:rPr>
                <w:rFonts w:ascii="Times New Roman" w:cs="Times New Roman" w:eastAsia="Times New Roman" w:hAnsi="Times New Roman"/>
                <w:sz w:val="17"/>
                <w:szCs w:val="17"/>
                <w:color w:val="0000FF"/>
              </w:rPr>
            </w:pPr>
            <w:hyperlink r:id="rId51">
              <w:r>
                <w:rPr>
                  <w:rFonts w:ascii="Times New Roman" w:cs="Times New Roman" w:eastAsia="Times New Roman" w:hAnsi="Times New Roman"/>
                  <w:sz w:val="17"/>
                  <w:szCs w:val="17"/>
                  <w:color w:val="0000FF"/>
                </w:rPr>
                <w:t>Unofficial English Translation of Guarantee Contract by and between Zai Lab Limited and Bank of Communications Co., Ltd. Shanghai</w:t>
              </w:r>
            </w:hyperlink>
          </w:p>
        </w:tc>
      </w:tr>
      <w:tr>
        <w:trPr>
          <w:trHeight w:val="176"/>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20" w:type="dxa"/>
            <w:vAlign w:val="bottom"/>
            <w:tcBorders>
              <w:top w:val="single" w:sz="8" w:color="0000FF"/>
            </w:tcBorders>
            <w:gridSpan w:val="10"/>
          </w:tcPr>
          <w:p>
            <w:pPr>
              <w:spacing w:after="0" w:line="176" w:lineRule="exact"/>
              <w:rPr>
                <w:rFonts w:ascii="Times New Roman" w:cs="Times New Roman" w:eastAsia="Times New Roman" w:hAnsi="Times New Roman"/>
                <w:sz w:val="17"/>
                <w:szCs w:val="17"/>
                <w:color w:val="0000FF"/>
              </w:rPr>
            </w:pPr>
            <w:hyperlink r:id="rId51">
              <w:r>
                <w:rPr>
                  <w:rFonts w:ascii="Times New Roman" w:cs="Times New Roman" w:eastAsia="Times New Roman" w:hAnsi="Times New Roman"/>
                  <w:sz w:val="17"/>
                  <w:szCs w:val="17"/>
                  <w:color w:val="0000FF"/>
                </w:rPr>
                <w:t>Zhangjiang Sub-Branch dated February 25, 2026 (incorporated by reference to Exhibit 10.38 to our Annual Report on Form 10-K (File</w:t>
              </w:r>
            </w:hyperlink>
          </w:p>
        </w:tc>
        <w:tc>
          <w:tcPr>
            <w:tcW w:w="260" w:type="dxa"/>
            <w:vAlign w:val="bottom"/>
            <w:gridSpan w:val="5"/>
          </w:tcPr>
          <w:p>
            <w:pPr>
              <w:spacing w:after="0" w:line="176" w:lineRule="exact"/>
              <w:rPr>
                <w:rFonts w:ascii="Times New Roman" w:cs="Times New Roman" w:eastAsia="Times New Roman" w:hAnsi="Times New Roman"/>
                <w:sz w:val="17"/>
                <w:szCs w:val="17"/>
                <w:color w:val="0000FF"/>
                <w:w w:val="95"/>
              </w:rPr>
            </w:pPr>
            <w:hyperlink r:id="rId51">
              <w:r>
                <w:rPr>
                  <w:rFonts w:ascii="Times New Roman" w:cs="Times New Roman" w:eastAsia="Times New Roman" w:hAnsi="Times New Roman"/>
                  <w:sz w:val="17"/>
                  <w:szCs w:val="17"/>
                  <w:color w:val="0000FF"/>
                  <w:w w:val="95"/>
                </w:rPr>
                <w:t>No.</w:t>
              </w:r>
            </w:hyperlink>
          </w:p>
        </w:tc>
      </w:tr>
      <w:tr>
        <w:trPr>
          <w:trHeight w:val="176"/>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80" w:type="dxa"/>
            <w:vAlign w:val="bottom"/>
            <w:tcBorders>
              <w:top w:val="single" w:sz="8" w:color="0000FF"/>
              <w:bottom w:val="single" w:sz="8" w:color="0000FF"/>
            </w:tcBorders>
          </w:tcPr>
          <w:p>
            <w:pPr>
              <w:spacing w:after="0" w:line="176" w:lineRule="exact"/>
              <w:rPr>
                <w:rFonts w:ascii="Times New Roman" w:cs="Times New Roman" w:eastAsia="Times New Roman" w:hAnsi="Times New Roman"/>
                <w:sz w:val="17"/>
                <w:szCs w:val="17"/>
                <w:color w:val="0000FF"/>
              </w:rPr>
            </w:pPr>
            <w:hyperlink r:id="rId51">
              <w:r>
                <w:rPr>
                  <w:rFonts w:ascii="Times New Roman" w:cs="Times New Roman" w:eastAsia="Times New Roman" w:hAnsi="Times New Roman"/>
                  <w:sz w:val="17"/>
                  <w:szCs w:val="17"/>
                  <w:color w:val="0000FF"/>
                </w:rPr>
                <w:t>001-38205) filed on February 26, 2026)</w:t>
              </w:r>
            </w:hyperlink>
          </w:p>
        </w:tc>
        <w:tc>
          <w:tcPr>
            <w:tcW w:w="6940" w:type="dxa"/>
            <w:vAlign w:val="bottom"/>
            <w:tcBorders>
              <w:top w:val="single" w:sz="8" w:color="0000FF"/>
            </w:tcBorders>
            <w:gridSpan w:val="12"/>
          </w:tcPr>
          <w:p>
            <w:pPr>
              <w:spacing w:after="0"/>
              <w:rPr>
                <w:sz w:val="15"/>
                <w:szCs w:val="15"/>
                <w:color w:val="auto"/>
              </w:rPr>
            </w:pPr>
          </w:p>
        </w:tc>
        <w:tc>
          <w:tcPr>
            <w:tcW w:w="60" w:type="dxa"/>
            <w:vAlign w:val="bottom"/>
            <w:gridSpan w:val="2"/>
          </w:tcPr>
          <w:p>
            <w:pPr>
              <w:spacing w:after="0"/>
              <w:rPr>
                <w:sz w:val="15"/>
                <w:szCs w:val="15"/>
                <w:color w:val="auto"/>
              </w:rPr>
            </w:pPr>
          </w:p>
        </w:tc>
      </w:tr>
      <w:tr>
        <w:trPr>
          <w:trHeight w:val="241"/>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80" w:type="dxa"/>
            <w:vAlign w:val="bottom"/>
            <w:gridSpan w:val="15"/>
          </w:tcPr>
          <w:p>
            <w:pPr>
              <w:spacing w:after="0"/>
              <w:rPr>
                <w:rFonts w:ascii="Times New Roman" w:cs="Times New Roman" w:eastAsia="Times New Roman" w:hAnsi="Times New Roman"/>
                <w:sz w:val="17"/>
                <w:szCs w:val="17"/>
                <w:color w:val="0000FF"/>
              </w:rPr>
            </w:pPr>
            <w:hyperlink r:id="rId52">
              <w:r>
                <w:rPr>
                  <w:rFonts w:ascii="Times New Roman" w:cs="Times New Roman" w:eastAsia="Times New Roman" w:hAnsi="Times New Roman"/>
                  <w:sz w:val="17"/>
                  <w:szCs w:val="17"/>
                  <w:color w:val="0000FF"/>
                </w:rPr>
                <w:t>Unofficial English Translation of Working Capital Loan Contract by and between Zai Lab (Shanghai) Co., Ltd. and Bank of</w:t>
              </w:r>
            </w:hyperlink>
          </w:p>
        </w:tc>
      </w:tr>
      <w:tr>
        <w:trPr>
          <w:trHeight w:val="176"/>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40" w:type="dxa"/>
            <w:vAlign w:val="bottom"/>
            <w:tcBorders>
              <w:top w:val="single" w:sz="8" w:color="0000FF"/>
            </w:tcBorders>
            <w:gridSpan w:val="9"/>
          </w:tcPr>
          <w:p>
            <w:pPr>
              <w:spacing w:after="0" w:line="176" w:lineRule="exact"/>
              <w:rPr>
                <w:rFonts w:ascii="Times New Roman" w:cs="Times New Roman" w:eastAsia="Times New Roman" w:hAnsi="Times New Roman"/>
                <w:sz w:val="17"/>
                <w:szCs w:val="17"/>
                <w:color w:val="0000FF"/>
              </w:rPr>
            </w:pPr>
            <w:hyperlink r:id="rId52">
              <w:r>
                <w:rPr>
                  <w:rFonts w:ascii="Times New Roman" w:cs="Times New Roman" w:eastAsia="Times New Roman" w:hAnsi="Times New Roman"/>
                  <w:sz w:val="17"/>
                  <w:szCs w:val="17"/>
                  <w:color w:val="0000FF"/>
                </w:rPr>
                <w:t>Communications Co., Ltd. Shanghai Zhangjiang Sub-Branch dated February 25, 2026 (incorporated by reference to Exhibit</w:t>
              </w:r>
            </w:hyperlink>
          </w:p>
        </w:tc>
        <w:tc>
          <w:tcPr>
            <w:tcW w:w="1140" w:type="dxa"/>
            <w:vAlign w:val="bottom"/>
            <w:gridSpan w:val="6"/>
          </w:tcPr>
          <w:p>
            <w:pPr>
              <w:ind w:left="40"/>
              <w:spacing w:after="0" w:line="176" w:lineRule="exact"/>
              <w:rPr>
                <w:rFonts w:ascii="Times New Roman" w:cs="Times New Roman" w:eastAsia="Times New Roman" w:hAnsi="Times New Roman"/>
                <w:sz w:val="17"/>
                <w:szCs w:val="17"/>
                <w:color w:val="0000FF"/>
              </w:rPr>
            </w:pPr>
            <w:hyperlink r:id="rId52">
              <w:r>
                <w:rPr>
                  <w:rFonts w:ascii="Times New Roman" w:cs="Times New Roman" w:eastAsia="Times New Roman" w:hAnsi="Times New Roman"/>
                  <w:sz w:val="17"/>
                  <w:szCs w:val="17"/>
                  <w:color w:val="0000FF"/>
                </w:rPr>
                <w:t>10.39 to our</w:t>
              </w:r>
            </w:hyperlink>
          </w:p>
        </w:tc>
      </w:tr>
      <w:tr>
        <w:trPr>
          <w:trHeight w:val="176"/>
        </w:trPr>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40" w:type="dxa"/>
            <w:vAlign w:val="bottom"/>
            <w:tcBorders>
              <w:top w:val="single" w:sz="8" w:color="0000FF"/>
            </w:tcBorders>
            <w:gridSpan w:val="11"/>
          </w:tcPr>
          <w:p>
            <w:pPr>
              <w:spacing w:after="0" w:line="176" w:lineRule="exact"/>
              <w:rPr>
                <w:rFonts w:ascii="Times New Roman" w:cs="Times New Roman" w:eastAsia="Times New Roman" w:hAnsi="Times New Roman"/>
                <w:sz w:val="17"/>
                <w:szCs w:val="17"/>
                <w:color w:val="0000FF"/>
              </w:rPr>
            </w:pPr>
            <w:hyperlink r:id="rId52">
              <w:r>
                <w:rPr>
                  <w:rFonts w:ascii="Times New Roman" w:cs="Times New Roman" w:eastAsia="Times New Roman" w:hAnsi="Times New Roman"/>
                  <w:sz w:val="17"/>
                  <w:szCs w:val="17"/>
                  <w:color w:val="0000FF"/>
                </w:rPr>
                <w:t>Annual Report on Form 10-K (File No. 001-38205) filed on February 26, 2026)</w:t>
              </w:r>
            </w:hyperlink>
          </w:p>
        </w:tc>
        <w:tc>
          <w:tcPr>
            <w:tcW w:w="240" w:type="dxa"/>
            <w:vAlign w:val="bottom"/>
            <w:gridSpan w:val="4"/>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80" w:type="dxa"/>
            <w:vAlign w:val="bottom"/>
            <w:gridSpan w:val="9"/>
          </w:tcPr>
          <w:p>
            <w:pPr>
              <w:spacing w:after="0" w:line="20" w:lineRule="exact"/>
              <w:rPr>
                <w:sz w:val="1"/>
                <w:szCs w:val="1"/>
                <w:color w:val="auto"/>
              </w:rPr>
            </w:pPr>
          </w:p>
        </w:tc>
      </w:tr>
      <w:tr>
        <w:trPr>
          <w:trHeight w:val="241"/>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Required by Exchange Act Rule 13a-14(a)</w:t>
            </w:r>
          </w:p>
        </w:tc>
        <w:tc>
          <w:tcPr>
            <w:tcW w:w="3980" w:type="dxa"/>
            <w:vAlign w:val="bottom"/>
            <w:gridSpan w:val="9"/>
          </w:tcPr>
          <w:p>
            <w:pPr>
              <w:spacing w:after="0"/>
              <w:rPr>
                <w:sz w:val="20"/>
                <w:szCs w:val="20"/>
                <w:color w:val="auto"/>
              </w:rPr>
            </w:pPr>
          </w:p>
        </w:tc>
      </w:tr>
      <w:tr>
        <w:trPr>
          <w:trHeight w:val="228"/>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Required by Exchange Act Rule 13a-14(a)</w:t>
            </w:r>
          </w:p>
        </w:tc>
        <w:tc>
          <w:tcPr>
            <w:tcW w:w="4020" w:type="dxa"/>
            <w:vAlign w:val="bottom"/>
            <w:gridSpan w:val="10"/>
          </w:tcPr>
          <w:p>
            <w:pPr>
              <w:spacing w:after="0"/>
              <w:rPr>
                <w:sz w:val="19"/>
                <w:szCs w:val="19"/>
                <w:color w:val="auto"/>
              </w:rPr>
            </w:pPr>
          </w:p>
        </w:tc>
      </w:tr>
      <w:tr>
        <w:trPr>
          <w:trHeight w:val="228"/>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Required by 18 U.S.C. Section 1350</w:t>
            </w:r>
          </w:p>
        </w:tc>
        <w:tc>
          <w:tcPr>
            <w:tcW w:w="4400" w:type="dxa"/>
            <w:vAlign w:val="bottom"/>
            <w:gridSpan w:val="12"/>
          </w:tcPr>
          <w:p>
            <w:pPr>
              <w:spacing w:after="0"/>
              <w:rPr>
                <w:sz w:val="19"/>
                <w:szCs w:val="19"/>
                <w:color w:val="auto"/>
              </w:rPr>
            </w:pPr>
          </w:p>
        </w:tc>
      </w:tr>
      <w:tr>
        <w:trPr>
          <w:trHeight w:val="241"/>
        </w:trPr>
        <w:tc>
          <w:tcPr>
            <w:tcW w:w="1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8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Required by 18 U.S.C. Section 1350</w:t>
            </w:r>
          </w:p>
        </w:tc>
      </w:tr>
      <w:tr>
        <w:trPr>
          <w:trHeight w:val="20"/>
        </w:trPr>
        <w:tc>
          <w:tcPr>
            <w:tcW w:w="1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20" w:type="dxa"/>
            <w:vAlign w:val="bottom"/>
            <w:gridSpan w:val="2"/>
            <w:shd w:val="clear" w:color="auto" w:fill="0000FF"/>
          </w:tcPr>
          <w:p>
            <w:pPr>
              <w:spacing w:after="0" w:line="20" w:lineRule="exact"/>
              <w:rPr>
                <w:sz w:val="1"/>
                <w:szCs w:val="1"/>
                <w:color w:val="auto"/>
              </w:rPr>
            </w:pPr>
          </w:p>
        </w:tc>
        <w:tc>
          <w:tcPr>
            <w:tcW w:w="4460" w:type="dxa"/>
            <w:vAlign w:val="bottom"/>
            <w:gridSpan w:val="13"/>
          </w:tcPr>
          <w:p>
            <w:pPr>
              <w:spacing w:after="0" w:line="20" w:lineRule="exact"/>
              <w:rPr>
                <w:sz w:val="1"/>
                <w:szCs w:val="1"/>
                <w:color w:val="auto"/>
              </w:rPr>
            </w:pPr>
          </w:p>
        </w:tc>
      </w:tr>
      <w:tr>
        <w:trPr>
          <w:trHeight w:val="262"/>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20" w:type="dxa"/>
            <w:vAlign w:val="bottom"/>
          </w:tcPr>
          <w:p>
            <w:pPr>
              <w:spacing w:after="0"/>
              <w:rPr>
                <w:sz w:val="22"/>
                <w:szCs w:val="22"/>
                <w:color w:val="auto"/>
              </w:rPr>
            </w:pPr>
          </w:p>
        </w:tc>
        <w:tc>
          <w:tcPr>
            <w:tcW w:w="978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Inline XBRL Instance Document-the instance document does not appear in the Interactive Data File because its XBRL tags are embedded</w:t>
            </w:r>
          </w:p>
        </w:tc>
      </w:tr>
      <w:tr>
        <w:trPr>
          <w:trHeight w:val="227"/>
        </w:trPr>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8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within the Inline XBRL document</w:t>
            </w:r>
          </w:p>
        </w:tc>
      </w:tr>
      <w:tr>
        <w:trPr>
          <w:trHeight w:val="261"/>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20" w:type="dxa"/>
            <w:vAlign w:val="bottom"/>
          </w:tcPr>
          <w:p>
            <w:pPr>
              <w:spacing w:after="0"/>
              <w:rPr>
                <w:sz w:val="22"/>
                <w:szCs w:val="22"/>
                <w:color w:val="auto"/>
              </w:rPr>
            </w:pPr>
          </w:p>
        </w:tc>
        <w:tc>
          <w:tcPr>
            <w:tcW w:w="978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248"/>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20" w:type="dxa"/>
            <w:vAlign w:val="bottom"/>
          </w:tcPr>
          <w:p>
            <w:pPr>
              <w:spacing w:after="0"/>
              <w:rPr>
                <w:sz w:val="21"/>
                <w:szCs w:val="21"/>
                <w:color w:val="auto"/>
              </w:rPr>
            </w:pPr>
          </w:p>
        </w:tc>
        <w:tc>
          <w:tcPr>
            <w:tcW w:w="978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248"/>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20" w:type="dxa"/>
            <w:vAlign w:val="bottom"/>
          </w:tcPr>
          <w:p>
            <w:pPr>
              <w:spacing w:after="0"/>
              <w:rPr>
                <w:sz w:val="21"/>
                <w:szCs w:val="21"/>
                <w:color w:val="auto"/>
              </w:rPr>
            </w:pPr>
          </w:p>
        </w:tc>
        <w:tc>
          <w:tcPr>
            <w:tcW w:w="978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248"/>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20" w:type="dxa"/>
            <w:vAlign w:val="bottom"/>
          </w:tcPr>
          <w:p>
            <w:pPr>
              <w:spacing w:after="0"/>
              <w:rPr>
                <w:sz w:val="21"/>
                <w:szCs w:val="21"/>
                <w:color w:val="auto"/>
              </w:rPr>
            </w:pPr>
          </w:p>
        </w:tc>
        <w:tc>
          <w:tcPr>
            <w:tcW w:w="978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r>
        <w:trPr>
          <w:trHeight w:val="248"/>
        </w:trPr>
        <w:tc>
          <w:tcPr>
            <w:tcW w:w="1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20" w:type="dxa"/>
            <w:vAlign w:val="bottom"/>
          </w:tcPr>
          <w:p>
            <w:pPr>
              <w:spacing w:after="0"/>
              <w:rPr>
                <w:sz w:val="21"/>
                <w:szCs w:val="21"/>
                <w:color w:val="auto"/>
              </w:rPr>
            </w:pPr>
          </w:p>
        </w:tc>
        <w:tc>
          <w:tcPr>
            <w:tcW w:w="978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Inline XBRL Taxonomy Extension Definitions Linkbase Document</w:t>
            </w:r>
          </w:p>
        </w:tc>
      </w:tr>
    </w:tbl>
    <w:p>
      <w:pPr>
        <w:spacing w:after="0" w:line="21" w:lineRule="exact"/>
        <w:rPr>
          <w:sz w:val="20"/>
          <w:szCs w:val="20"/>
          <w:color w:val="auto"/>
        </w:rPr>
      </w:pPr>
    </w:p>
    <w:p>
      <w:pPr>
        <w:ind w:left="1460" w:hanging="1438"/>
        <w:spacing w:after="0"/>
        <w:tabs>
          <w:tab w:leader="none" w:pos="146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353" w:lineRule="exact"/>
        <w:rPr>
          <w:rFonts w:ascii="Times New Roman" w:cs="Times New Roman" w:eastAsia="Times New Roman" w:hAnsi="Times New Roman"/>
          <w:sz w:val="17"/>
          <w:szCs w:val="17"/>
          <w:color w:val="auto"/>
        </w:rPr>
      </w:pPr>
    </w:p>
    <w:p>
      <w:pPr>
        <w:ind w:left="140" w:hanging="135"/>
        <w:spacing w:after="0"/>
        <w:tabs>
          <w:tab w:leader="none" w:pos="1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contract or compensatory plan, contract, or arrangement.</w:t>
      </w:r>
    </w:p>
    <w:p>
      <w:pPr>
        <w:spacing w:after="0" w:line="53" w:lineRule="exact"/>
        <w:rPr>
          <w:sz w:val="20"/>
          <w:szCs w:val="20"/>
          <w:color w:val="auto"/>
        </w:rPr>
      </w:pPr>
    </w:p>
    <w:p>
      <w:pPr>
        <w:ind w:left="140" w:hanging="135"/>
        <w:spacing w:after="0"/>
        <w:tabs>
          <w:tab w:leader="none" w:pos="1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Portions of this exhibit have been redacted pursuant to Item 601(b)(10)(iv) of Regulation S-K.</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58" w:lineRule="exact"/>
        <w:rPr>
          <w:rFonts w:ascii="Times New Roman" w:cs="Times New Roman" w:eastAsia="Times New Roman" w:hAnsi="Times New Roman"/>
          <w:sz w:val="17"/>
          <w:szCs w:val="17"/>
          <w:color w:val="auto"/>
        </w:rPr>
      </w:pPr>
    </w:p>
    <w:p>
      <w:pPr>
        <w:ind w:left="57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74" w:right="339" w:bottom="1440" w:gutter="0" w:footer="0" w:header="0"/>
        </w:sectPr>
      </w:pPr>
    </w:p>
    <w:bookmarkStart w:id="35" w:name="page36"/>
    <w:bookmarkEnd w:id="35"/>
    <w:p>
      <w:pPr>
        <w:spacing w:after="0" w:line="6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38" w:lineRule="exact"/>
        <w:rPr>
          <w:sz w:val="20"/>
          <w:szCs w:val="20"/>
          <w:color w:val="auto"/>
        </w:rPr>
      </w:pPr>
    </w:p>
    <w:p>
      <w:pPr>
        <w:ind w:right="920" w:firstLine="470"/>
        <w:spacing w:after="0" w:line="343"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00" w:type="dxa"/>
        <w:tblCellMar>
          <w:top w:w="0" w:type="dxa"/>
          <w:left w:w="0" w:type="dxa"/>
          <w:bottom w:w="0" w:type="dxa"/>
          <w:right w:w="0" w:type="dxa"/>
        </w:tblCellMar>
      </w:tblPr>
      <w:tr>
        <w:trPr>
          <w:trHeight w:val="229"/>
        </w:trPr>
        <w:tc>
          <w:tcPr>
            <w:tcW w:w="3320" w:type="dxa"/>
            <w:vAlign w:val="bottom"/>
          </w:tcPr>
          <w:p>
            <w:pPr>
              <w:spacing w:after="0"/>
              <w:rPr>
                <w:sz w:val="19"/>
                <w:szCs w:val="19"/>
                <w:color w:val="auto"/>
              </w:rPr>
            </w:pPr>
          </w:p>
        </w:tc>
        <w:tc>
          <w:tcPr>
            <w:tcW w:w="7520" w:type="dxa"/>
            <w:vAlign w:val="bottom"/>
            <w:gridSpan w:val="2"/>
          </w:tcPr>
          <w:p>
            <w:pPr>
              <w:ind w:left="2400"/>
              <w:spacing w:after="0"/>
              <w:rPr>
                <w:sz w:val="20"/>
                <w:szCs w:val="20"/>
                <w:color w:val="auto"/>
              </w:rPr>
            </w:pPr>
            <w:r>
              <w:rPr>
                <w:rFonts w:ascii="Times New Roman" w:cs="Times New Roman" w:eastAsia="Times New Roman" w:hAnsi="Times New Roman"/>
                <w:sz w:val="17"/>
                <w:szCs w:val="17"/>
                <w:b w:val="1"/>
                <w:bCs w:val="1"/>
                <w:color w:val="auto"/>
              </w:rPr>
              <w:t>ZAI LAB LIMITED</w:t>
            </w:r>
          </w:p>
        </w:tc>
      </w:tr>
      <w:tr>
        <w:trPr>
          <w:trHeight w:val="379"/>
        </w:trPr>
        <w:tc>
          <w:tcPr>
            <w:tcW w:w="3320" w:type="dxa"/>
            <w:vAlign w:val="bottom"/>
          </w:tcPr>
          <w:p>
            <w:pPr>
              <w:spacing w:after="0"/>
              <w:rPr>
                <w:sz w:val="20"/>
                <w:szCs w:val="20"/>
                <w:color w:val="auto"/>
              </w:rPr>
            </w:pPr>
            <w:r>
              <w:rPr>
                <w:rFonts w:ascii="Times New Roman" w:cs="Times New Roman" w:eastAsia="Times New Roman" w:hAnsi="Times New Roman"/>
                <w:sz w:val="17"/>
                <w:szCs w:val="17"/>
                <w:color w:val="auto"/>
              </w:rPr>
              <w:t>Dated: May 7, 2026</w:t>
            </w:r>
          </w:p>
        </w:tc>
        <w:tc>
          <w:tcPr>
            <w:tcW w:w="3180" w:type="dxa"/>
            <w:vAlign w:val="bottom"/>
          </w:tcPr>
          <w:p>
            <w:pPr>
              <w:ind w:left="2400"/>
              <w:spacing w:after="0"/>
              <w:rPr>
                <w:sz w:val="20"/>
                <w:szCs w:val="20"/>
                <w:color w:val="auto"/>
              </w:rPr>
            </w:pPr>
            <w:r>
              <w:rPr>
                <w:rFonts w:ascii="Times New Roman" w:cs="Times New Roman" w:eastAsia="Times New Roman" w:hAnsi="Times New Roman"/>
                <w:sz w:val="17"/>
                <w:szCs w:val="17"/>
                <w:color w:val="auto"/>
              </w:rPr>
              <w:t>By:</w:t>
            </w:r>
          </w:p>
        </w:tc>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Yajing Chen</w:t>
            </w:r>
          </w:p>
        </w:tc>
      </w:tr>
      <w:tr>
        <w:trPr>
          <w:trHeight w:val="210"/>
        </w:trPr>
        <w:tc>
          <w:tcPr>
            <w:tcW w:w="3320" w:type="dxa"/>
            <w:vAlign w:val="bottom"/>
          </w:tcPr>
          <w:p>
            <w:pPr>
              <w:spacing w:after="0"/>
              <w:rPr>
                <w:sz w:val="18"/>
                <w:szCs w:val="18"/>
                <w:color w:val="auto"/>
              </w:rPr>
            </w:pPr>
          </w:p>
        </w:tc>
        <w:tc>
          <w:tcPr>
            <w:tcW w:w="3180" w:type="dxa"/>
            <w:vAlign w:val="bottom"/>
          </w:tcPr>
          <w:p>
            <w:pPr>
              <w:ind w:left="2400"/>
              <w:spacing w:after="0"/>
              <w:rPr>
                <w:sz w:val="20"/>
                <w:szCs w:val="20"/>
                <w:color w:val="auto"/>
              </w:rPr>
            </w:pPr>
            <w:r>
              <w:rPr>
                <w:rFonts w:ascii="Times New Roman" w:cs="Times New Roman" w:eastAsia="Times New Roman" w:hAnsi="Times New Roman"/>
                <w:sz w:val="17"/>
                <w:szCs w:val="17"/>
                <w:color w:val="auto"/>
              </w:rPr>
              <w:t>Name:</w:t>
            </w:r>
          </w:p>
        </w:tc>
        <w:tc>
          <w:tcPr>
            <w:tcW w:w="4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Yajing Chen</w:t>
            </w:r>
          </w:p>
        </w:tc>
      </w:tr>
      <w:tr>
        <w:trPr>
          <w:trHeight w:val="220"/>
        </w:trPr>
        <w:tc>
          <w:tcPr>
            <w:tcW w:w="3320" w:type="dxa"/>
            <w:vAlign w:val="bottom"/>
          </w:tcPr>
          <w:p>
            <w:pPr>
              <w:spacing w:after="0"/>
              <w:rPr>
                <w:sz w:val="19"/>
                <w:szCs w:val="19"/>
                <w:color w:val="auto"/>
              </w:rPr>
            </w:pPr>
          </w:p>
        </w:tc>
        <w:tc>
          <w:tcPr>
            <w:tcW w:w="3180" w:type="dxa"/>
            <w:vAlign w:val="bottom"/>
          </w:tcPr>
          <w:p>
            <w:pPr>
              <w:ind w:left="2400"/>
              <w:spacing w:after="0"/>
              <w:rPr>
                <w:sz w:val="20"/>
                <w:szCs w:val="20"/>
                <w:color w:val="auto"/>
              </w:rPr>
            </w:pPr>
            <w:r>
              <w:rPr>
                <w:rFonts w:ascii="Times New Roman" w:cs="Times New Roman" w:eastAsia="Times New Roman" w:hAnsi="Times New Roman"/>
                <w:sz w:val="17"/>
                <w:szCs w:val="17"/>
                <w:color w:val="auto"/>
              </w:rPr>
              <w:t>Title:</w:t>
            </w:r>
          </w:p>
        </w:tc>
        <w:tc>
          <w:tcPr>
            <w:tcW w:w="4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29"/>
        </w:trPr>
        <w:tc>
          <w:tcPr>
            <w:tcW w:w="33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(Principal Financial and Accounting Officer)</w:t>
            </w:r>
          </w:p>
        </w:tc>
      </w:tr>
      <w:tr>
        <w:trPr>
          <w:trHeight w:val="889"/>
        </w:trPr>
        <w:tc>
          <w:tcPr>
            <w:tcW w:w="3320" w:type="dxa"/>
            <w:vAlign w:val="bottom"/>
          </w:tcPr>
          <w:p>
            <w:pPr>
              <w:spacing w:after="0"/>
              <w:rPr>
                <w:sz w:val="24"/>
                <w:szCs w:val="24"/>
                <w:color w:val="auto"/>
              </w:rPr>
            </w:pPr>
          </w:p>
        </w:tc>
        <w:tc>
          <w:tcPr>
            <w:tcW w:w="3180" w:type="dxa"/>
            <w:vAlign w:val="bottom"/>
          </w:tcPr>
          <w:p>
            <w:pPr>
              <w:ind w:left="1960"/>
              <w:spacing w:after="0"/>
              <w:rPr>
                <w:sz w:val="20"/>
                <w:szCs w:val="20"/>
                <w:color w:val="auto"/>
              </w:rPr>
            </w:pPr>
            <w:r>
              <w:rPr>
                <w:rFonts w:ascii="Times New Roman" w:cs="Times New Roman" w:eastAsia="Times New Roman" w:hAnsi="Times New Roman"/>
                <w:sz w:val="17"/>
                <w:szCs w:val="17"/>
                <w:color w:val="auto"/>
              </w:rPr>
              <w:t>31</w:t>
            </w:r>
          </w:p>
        </w:tc>
        <w:tc>
          <w:tcPr>
            <w:tcW w:w="4340" w:type="dxa"/>
            <w:vAlign w:val="bottom"/>
          </w:tcPr>
          <w:p>
            <w:pPr>
              <w:spacing w:after="0"/>
              <w:rPr>
                <w:sz w:val="24"/>
                <w:szCs w:val="24"/>
                <w:color w:val="auto"/>
              </w:rPr>
            </w:pPr>
          </w:p>
        </w:tc>
      </w:tr>
    </w:tbl>
    <w:p>
      <w:pPr>
        <w:sectPr>
          <w:pgSz w:w="11900" w:h="16838" w:orient="portrait"/>
          <w:cols w:equalWidth="0" w:num="1">
            <w:col w:w="11340"/>
          </w:cols>
          <w:pgMar w:left="320" w:top="1440" w:right="2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by the Principal Executive Officer</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Exchange Act Rule 13a-14(a),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Samantha (Ying) Du, certify that:</w:t>
      </w:r>
    </w:p>
    <w:p>
      <w:pPr>
        <w:spacing w:after="0" w:line="223" w:lineRule="exact"/>
        <w:rPr>
          <w:sz w:val="20"/>
          <w:szCs w:val="20"/>
          <w:color w:val="auto"/>
        </w:rPr>
      </w:pPr>
    </w:p>
    <w:p>
      <w:pPr>
        <w:ind w:left="180" w:hanging="175"/>
        <w:spacing w:after="0"/>
        <w:tabs>
          <w:tab w:leader="none" w:pos="1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for the quarter ended March 31, 2026 of Zai Lab Limited;</w:t>
      </w:r>
    </w:p>
    <w:p>
      <w:pPr>
        <w:spacing w:after="0" w:line="222" w:lineRule="exact"/>
        <w:rPr>
          <w:rFonts w:ascii="Times New Roman" w:cs="Times New Roman" w:eastAsia="Times New Roman" w:hAnsi="Times New Roman"/>
          <w:sz w:val="17"/>
          <w:szCs w:val="17"/>
          <w:color w:val="auto"/>
        </w:rPr>
      </w:pPr>
    </w:p>
    <w:p>
      <w:pPr>
        <w:ind w:right="140" w:firstLine="5"/>
        <w:spacing w:after="0" w:line="295" w:lineRule="auto"/>
        <w:tabs>
          <w:tab w:leader="none" w:pos="17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Times New Roman" w:cs="Times New Roman" w:eastAsia="Times New Roman" w:hAnsi="Times New Roman"/>
          <w:sz w:val="17"/>
          <w:szCs w:val="17"/>
          <w:color w:val="auto"/>
        </w:rPr>
      </w:pPr>
    </w:p>
    <w:p>
      <w:pPr>
        <w:ind w:right="240" w:firstLine="5"/>
        <w:spacing w:after="0" w:line="295" w:lineRule="auto"/>
        <w:tabs>
          <w:tab w:leader="none" w:pos="17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Times New Roman" w:cs="Times New Roman" w:eastAsia="Times New Roman" w:hAnsi="Times New Roman"/>
          <w:sz w:val="17"/>
          <w:szCs w:val="17"/>
          <w:color w:val="auto"/>
        </w:rPr>
      </w:pPr>
    </w:p>
    <w:p>
      <w:pPr>
        <w:ind w:right="80" w:firstLine="5"/>
        <w:spacing w:after="0" w:line="276" w:lineRule="auto"/>
        <w:tabs>
          <w:tab w:leader="none" w:pos="17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sz w:val="20"/>
          <w:szCs w:val="20"/>
          <w:color w:val="auto"/>
        </w:rPr>
      </w:pPr>
    </w:p>
    <w:p>
      <w:pPr>
        <w:ind w:right="40" w:firstLine="5"/>
        <w:spacing w:after="0" w:line="276" w:lineRule="auto"/>
        <w:tabs>
          <w:tab w:leader="none" w:pos="237"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Times New Roman" w:cs="Times New Roman" w:eastAsia="Times New Roman" w:hAnsi="Times New Roman"/>
          <w:sz w:val="17"/>
          <w:szCs w:val="17"/>
          <w:color w:val="auto"/>
        </w:rPr>
      </w:pPr>
    </w:p>
    <w:p>
      <w:pPr>
        <w:ind w:right="100" w:firstLine="5"/>
        <w:spacing w:after="0" w:line="276" w:lineRule="auto"/>
        <w:tabs>
          <w:tab w:leader="none" w:pos="247"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Times New Roman" w:cs="Times New Roman" w:eastAsia="Times New Roman" w:hAnsi="Times New Roman"/>
          <w:sz w:val="17"/>
          <w:szCs w:val="17"/>
          <w:color w:val="auto"/>
        </w:rPr>
      </w:pPr>
    </w:p>
    <w:p>
      <w:pPr>
        <w:ind w:right="220" w:firstLine="5"/>
        <w:spacing w:after="0" w:line="295" w:lineRule="auto"/>
        <w:tabs>
          <w:tab w:leader="none" w:pos="237"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Times New Roman" w:cs="Times New Roman" w:eastAsia="Times New Roman" w:hAnsi="Times New Roman"/>
          <w:sz w:val="17"/>
          <w:szCs w:val="17"/>
          <w:color w:val="auto"/>
        </w:rPr>
      </w:pPr>
    </w:p>
    <w:p>
      <w:pPr>
        <w:ind w:right="140" w:firstLine="5"/>
        <w:spacing w:after="0" w:line="276" w:lineRule="auto"/>
        <w:tabs>
          <w:tab w:leader="none" w:pos="247"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sz w:val="20"/>
          <w:szCs w:val="20"/>
          <w:color w:val="auto"/>
        </w:rPr>
      </w:pPr>
    </w:p>
    <w:p>
      <w:pPr>
        <w:ind w:firstLine="5"/>
        <w:spacing w:after="0" w:line="295" w:lineRule="auto"/>
        <w:tabs>
          <w:tab w:leader="none" w:pos="17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00" w:firstLine="5"/>
        <w:spacing w:after="0" w:line="295" w:lineRule="auto"/>
        <w:tabs>
          <w:tab w:leader="none" w:pos="237"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Times New Roman" w:cs="Times New Roman" w:eastAsia="Times New Roman" w:hAnsi="Times New Roman"/>
          <w:sz w:val="17"/>
          <w:szCs w:val="17"/>
          <w:color w:val="auto"/>
        </w:rPr>
      </w:pPr>
    </w:p>
    <w:p>
      <w:pPr>
        <w:ind w:right="620" w:firstLine="5"/>
        <w:spacing w:after="0" w:line="295" w:lineRule="auto"/>
        <w:tabs>
          <w:tab w:leader="none" w:pos="247"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7"/>
          <w:szCs w:val="17"/>
          <w:color w:val="auto"/>
        </w:rPr>
        <w:t>Date: May 7, 2026</w:t>
      </w:r>
      <w:r>
        <w:rPr>
          <w:sz w:val="20"/>
          <w:szCs w:val="20"/>
          <w:color w:val="auto"/>
        </w:rPr>
        <w:tab/>
      </w:r>
      <w:r>
        <w:rPr>
          <w:rFonts w:ascii="Times New Roman" w:cs="Times New Roman" w:eastAsia="Times New Roman" w:hAnsi="Times New Roman"/>
          <w:sz w:val="17"/>
          <w:szCs w:val="17"/>
          <w:color w:val="auto"/>
        </w:rPr>
        <w:t>/s/ Samantha (Ying) Du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36830</wp:posOffset>
            </wp:positionV>
            <wp:extent cx="35680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Samantha (Ying) Du</w:t>
      </w:r>
    </w:p>
    <w:p>
      <w:pPr>
        <w:spacing w:after="0" w:line="6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1240"/>
          </w:cols>
          <w:pgMar w:left="320" w:top="1112"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by the Principal Financial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Exchange Act Rule 13a-14(a),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Yajing Chen, certify that:</w:t>
      </w:r>
    </w:p>
    <w:p>
      <w:pPr>
        <w:spacing w:after="0" w:line="223" w:lineRule="exact"/>
        <w:rPr>
          <w:sz w:val="20"/>
          <w:szCs w:val="20"/>
          <w:color w:val="auto"/>
        </w:rPr>
      </w:pPr>
    </w:p>
    <w:p>
      <w:pPr>
        <w:ind w:left="180" w:hanging="175"/>
        <w:spacing w:after="0"/>
        <w:tabs>
          <w:tab w:leader="none" w:pos="1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for the quarter ended March 31, 2026 of Zai Lab Limited;</w:t>
      </w:r>
    </w:p>
    <w:p>
      <w:pPr>
        <w:spacing w:after="0" w:line="222" w:lineRule="exact"/>
        <w:rPr>
          <w:rFonts w:ascii="Times New Roman" w:cs="Times New Roman" w:eastAsia="Times New Roman" w:hAnsi="Times New Roman"/>
          <w:sz w:val="17"/>
          <w:szCs w:val="17"/>
          <w:color w:val="auto"/>
        </w:rPr>
      </w:pPr>
    </w:p>
    <w:p>
      <w:pPr>
        <w:ind w:right="140" w:firstLine="5"/>
        <w:spacing w:after="0" w:line="295" w:lineRule="auto"/>
        <w:tabs>
          <w:tab w:leader="none" w:pos="17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Times New Roman" w:cs="Times New Roman" w:eastAsia="Times New Roman" w:hAnsi="Times New Roman"/>
          <w:sz w:val="17"/>
          <w:szCs w:val="17"/>
          <w:color w:val="auto"/>
        </w:rPr>
      </w:pPr>
    </w:p>
    <w:p>
      <w:pPr>
        <w:ind w:right="240" w:firstLine="5"/>
        <w:spacing w:after="0" w:line="295" w:lineRule="auto"/>
        <w:tabs>
          <w:tab w:leader="none" w:pos="17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Times New Roman" w:cs="Times New Roman" w:eastAsia="Times New Roman" w:hAnsi="Times New Roman"/>
          <w:sz w:val="17"/>
          <w:szCs w:val="17"/>
          <w:color w:val="auto"/>
        </w:rPr>
      </w:pPr>
    </w:p>
    <w:p>
      <w:pPr>
        <w:ind w:right="80" w:firstLine="5"/>
        <w:spacing w:after="0" w:line="276" w:lineRule="auto"/>
        <w:tabs>
          <w:tab w:leader="none" w:pos="17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sz w:val="20"/>
          <w:szCs w:val="20"/>
          <w:color w:val="auto"/>
        </w:rPr>
      </w:pPr>
    </w:p>
    <w:p>
      <w:pPr>
        <w:ind w:right="40" w:firstLine="5"/>
        <w:spacing w:after="0" w:line="276" w:lineRule="auto"/>
        <w:tabs>
          <w:tab w:leader="none" w:pos="237"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Times New Roman" w:cs="Times New Roman" w:eastAsia="Times New Roman" w:hAnsi="Times New Roman"/>
          <w:sz w:val="17"/>
          <w:szCs w:val="17"/>
          <w:color w:val="auto"/>
        </w:rPr>
      </w:pPr>
    </w:p>
    <w:p>
      <w:pPr>
        <w:ind w:right="100" w:firstLine="5"/>
        <w:spacing w:after="0" w:line="276" w:lineRule="auto"/>
        <w:tabs>
          <w:tab w:leader="none" w:pos="247"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Times New Roman" w:cs="Times New Roman" w:eastAsia="Times New Roman" w:hAnsi="Times New Roman"/>
          <w:sz w:val="17"/>
          <w:szCs w:val="17"/>
          <w:color w:val="auto"/>
        </w:rPr>
      </w:pPr>
    </w:p>
    <w:p>
      <w:pPr>
        <w:ind w:right="220" w:firstLine="5"/>
        <w:spacing w:after="0" w:line="295" w:lineRule="auto"/>
        <w:tabs>
          <w:tab w:leader="none" w:pos="237"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Times New Roman" w:cs="Times New Roman" w:eastAsia="Times New Roman" w:hAnsi="Times New Roman"/>
          <w:sz w:val="17"/>
          <w:szCs w:val="17"/>
          <w:color w:val="auto"/>
        </w:rPr>
      </w:pPr>
    </w:p>
    <w:p>
      <w:pPr>
        <w:ind w:right="140" w:firstLine="5"/>
        <w:spacing w:after="0" w:line="276" w:lineRule="auto"/>
        <w:tabs>
          <w:tab w:leader="none" w:pos="247"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sz w:val="20"/>
          <w:szCs w:val="20"/>
          <w:color w:val="auto"/>
        </w:rPr>
      </w:pPr>
    </w:p>
    <w:p>
      <w:pPr>
        <w:ind w:firstLine="5"/>
        <w:spacing w:after="0" w:line="295" w:lineRule="auto"/>
        <w:tabs>
          <w:tab w:leader="none" w:pos="174"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400" w:firstLine="5"/>
        <w:spacing w:after="0" w:line="295" w:lineRule="auto"/>
        <w:tabs>
          <w:tab w:leader="none" w:pos="237"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Times New Roman" w:cs="Times New Roman" w:eastAsia="Times New Roman" w:hAnsi="Times New Roman"/>
          <w:sz w:val="17"/>
          <w:szCs w:val="17"/>
          <w:color w:val="auto"/>
        </w:rPr>
      </w:pPr>
    </w:p>
    <w:p>
      <w:pPr>
        <w:ind w:right="620" w:firstLine="5"/>
        <w:spacing w:after="0" w:line="295" w:lineRule="auto"/>
        <w:tabs>
          <w:tab w:leader="none" w:pos="247"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7"/>
          <w:szCs w:val="17"/>
          <w:color w:val="auto"/>
        </w:rPr>
        <w:t>Date: May 7, 2026</w:t>
      </w:r>
      <w:r>
        <w:rPr>
          <w:sz w:val="20"/>
          <w:szCs w:val="20"/>
          <w:color w:val="auto"/>
        </w:rPr>
        <w:tab/>
      </w:r>
      <w:r>
        <w:rPr>
          <w:rFonts w:ascii="Times New Roman" w:cs="Times New Roman" w:eastAsia="Times New Roman" w:hAnsi="Times New Roman"/>
          <w:sz w:val="17"/>
          <w:szCs w:val="17"/>
          <w:color w:val="auto"/>
        </w:rPr>
        <w:t>/s/ Yajing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36830</wp:posOffset>
            </wp:positionV>
            <wp:extent cx="35680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Yajing Chen</w:t>
      </w:r>
    </w:p>
    <w:p>
      <w:pPr>
        <w:spacing w:after="0" w:line="6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i w:val="1"/>
          <w:iCs w:val="1"/>
          <w:color w:val="auto"/>
        </w:rPr>
        <w:t>(Principal Financial and Accounting Officer)</w:t>
      </w:r>
    </w:p>
    <w:p>
      <w:pPr>
        <w:sectPr>
          <w:pgSz w:w="11900" w:h="16838" w:orient="portrait"/>
          <w:cols w:equalWidth="0" w:num="1">
            <w:col w:w="11240"/>
          </w:cols>
          <w:pgMar w:left="320" w:top="1112"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by the Principal Executive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18 U.S.C. Section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 of the Sarbanes-Oxley Act of 2002</w:t>
      </w:r>
    </w:p>
    <w:p>
      <w:pPr>
        <w:spacing w:after="0" w:line="205" w:lineRule="exact"/>
        <w:rPr>
          <w:sz w:val="20"/>
          <w:szCs w:val="20"/>
          <w:color w:val="auto"/>
        </w:rPr>
      </w:pPr>
    </w:p>
    <w:p>
      <w:pPr>
        <w:jc w:val="both"/>
        <w:ind w:right="200"/>
        <w:spacing w:after="0" w:line="276" w:lineRule="auto"/>
        <w:rPr>
          <w:sz w:val="20"/>
          <w:szCs w:val="20"/>
          <w:color w:val="auto"/>
        </w:rPr>
      </w:pPr>
      <w:r>
        <w:rPr>
          <w:rFonts w:ascii="Times New Roman" w:cs="Times New Roman" w:eastAsia="Times New Roman" w:hAnsi="Times New Roman"/>
          <w:sz w:val="17"/>
          <w:szCs w:val="17"/>
          <w:color w:val="auto"/>
        </w:rPr>
        <w:t>In connection with the Quarterly Report on Form 10-Q for the quarter ended March 31, 2026 of Zai Lab Limited (the “Company”), as filed with the Securities and Exchange Commission on the date hereof (the “Report”), I, Samantha (Ying) Du, Chief Executive Officer of the Company, certify, pursuant to 18 U.S.C. Section 1350, as adopted pursuant to Section 906 of the Sarbanes-Oxley Act of 2002, that to my knowledge:</w:t>
      </w:r>
    </w:p>
    <w:p>
      <w:pPr>
        <w:spacing w:after="0" w:line="162" w:lineRule="exact"/>
        <w:rPr>
          <w:sz w:val="20"/>
          <w:szCs w:val="20"/>
          <w:color w:val="auto"/>
        </w:rPr>
      </w:pPr>
    </w:p>
    <w:p>
      <w:pPr>
        <w:ind w:left="460" w:hanging="455"/>
        <w:spacing w:after="0"/>
        <w:tabs>
          <w:tab w:leader="none" w:pos="4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22" w:lineRule="exact"/>
        <w:rPr>
          <w:rFonts w:ascii="Times New Roman" w:cs="Times New Roman" w:eastAsia="Times New Roman" w:hAnsi="Times New Roman"/>
          <w:sz w:val="17"/>
          <w:szCs w:val="17"/>
          <w:color w:val="auto"/>
        </w:rPr>
      </w:pPr>
    </w:p>
    <w:p>
      <w:pPr>
        <w:ind w:left="460" w:hanging="455"/>
        <w:spacing w:after="0"/>
        <w:tabs>
          <w:tab w:leader="none" w:pos="4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7"/>
          <w:szCs w:val="17"/>
          <w:color w:val="auto"/>
        </w:rPr>
        <w:t>Date: May 7, 2026</w:t>
      </w:r>
      <w:r>
        <w:rPr>
          <w:sz w:val="20"/>
          <w:szCs w:val="20"/>
          <w:color w:val="auto"/>
        </w:rPr>
        <w:tab/>
      </w:r>
      <w:r>
        <w:rPr>
          <w:rFonts w:ascii="Times New Roman" w:cs="Times New Roman" w:eastAsia="Times New Roman" w:hAnsi="Times New Roman"/>
          <w:sz w:val="17"/>
          <w:szCs w:val="17"/>
          <w:color w:val="auto"/>
        </w:rPr>
        <w:t>/s/ Samantha (Ying) Du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36830</wp:posOffset>
            </wp:positionV>
            <wp:extent cx="35680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Samantha (Ying) Du</w:t>
      </w:r>
    </w:p>
    <w:p>
      <w:pPr>
        <w:spacing w:after="0" w:line="6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1240"/>
          </w:cols>
          <w:pgMar w:left="320" w:top="1112"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by the Principal Financial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18 U.S.C. Section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 of the Sarbanes-Oxley Act of 2002</w:t>
      </w:r>
    </w:p>
    <w:p>
      <w:pPr>
        <w:spacing w:after="0" w:line="205"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7"/>
          <w:szCs w:val="17"/>
          <w:color w:val="auto"/>
        </w:rPr>
        <w:t>In connection with the Quarterly Report on Form 10-Q for the quarter ended March 31, 2026 of Zai Lab Limited (the “Company”), as filed with the Securities and Exchange Commission on the date hereof (the “Report”), I, Yajing Chen, Chief Financial Officer of the Company, certify, pursuant to 18 U.S.C. Section 1350, as adopted pursuant to Section 906 of the Sarbanes-Oxley Act of 2002, that to my knowledge:</w:t>
      </w:r>
    </w:p>
    <w:p>
      <w:pPr>
        <w:spacing w:after="0" w:line="162" w:lineRule="exact"/>
        <w:rPr>
          <w:sz w:val="20"/>
          <w:szCs w:val="20"/>
          <w:color w:val="auto"/>
        </w:rPr>
      </w:pPr>
    </w:p>
    <w:p>
      <w:pPr>
        <w:ind w:left="460" w:hanging="455"/>
        <w:spacing w:after="0"/>
        <w:tabs>
          <w:tab w:leader="none" w:pos="4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22" w:lineRule="exact"/>
        <w:rPr>
          <w:rFonts w:ascii="Times New Roman" w:cs="Times New Roman" w:eastAsia="Times New Roman" w:hAnsi="Times New Roman"/>
          <w:sz w:val="17"/>
          <w:szCs w:val="17"/>
          <w:color w:val="auto"/>
        </w:rPr>
      </w:pPr>
    </w:p>
    <w:p>
      <w:pPr>
        <w:ind w:left="460" w:hanging="455"/>
        <w:spacing w:after="0"/>
        <w:tabs>
          <w:tab w:leader="none" w:pos="4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7"/>
          <w:szCs w:val="17"/>
          <w:color w:val="auto"/>
        </w:rPr>
        <w:t>Date: May 7, 2026</w:t>
      </w:r>
      <w:r>
        <w:rPr>
          <w:sz w:val="20"/>
          <w:szCs w:val="20"/>
          <w:color w:val="auto"/>
        </w:rPr>
        <w:tab/>
      </w:r>
      <w:r>
        <w:rPr>
          <w:rFonts w:ascii="Times New Roman" w:cs="Times New Roman" w:eastAsia="Times New Roman" w:hAnsi="Times New Roman"/>
          <w:sz w:val="17"/>
          <w:szCs w:val="17"/>
          <w:color w:val="auto"/>
        </w:rPr>
        <w:t>/s/ Yajing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36830</wp:posOffset>
            </wp:positionV>
            <wp:extent cx="35680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3568065" cy="8255"/>
                    </a:xfrm>
                    <a:prstGeom prst="rect">
                      <a:avLst/>
                    </a:prstGeom>
                    <a:noFill/>
                  </pic:spPr>
                </pic:pic>
              </a:graphicData>
            </a:graphic>
          </wp:anchor>
        </w:drawing>
      </w:r>
    </w:p>
    <w:p>
      <w:pPr>
        <w:spacing w:after="0" w:line="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Yajing Chen</w:t>
      </w:r>
    </w:p>
    <w:p>
      <w:pPr>
        <w:spacing w:after="0" w:line="6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5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i w:val="1"/>
          <w:iCs w:val="1"/>
          <w:color w:val="auto"/>
        </w:rPr>
        <w:t>(Principal Financial and Accounting Officer)</w:t>
      </w:r>
    </w:p>
    <w:sectPr>
      <w:pgSz w:w="11900" w:h="16838" w:orient="portrait"/>
      <w:cols w:equalWidth="0" w:num="1">
        <w:col w:w="11240"/>
      </w:cols>
      <w:pgMar w:left="320" w:top="1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x"/>
      <w:numFmt w:val="bullet"/>
      <w:start w:val="1"/>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1)"/>
      <w:numFmt w:val="lowerRoman"/>
      <w:start w:val="1"/>
    </w:lvl>
  </w:abstractNum>
  <w:abstractNum w:abstractNumId="7">
    <w:nsid w:val="3F2DBA31"/>
    <w:multiLevelType w:val="hybridMultilevel"/>
    <w:lvl w:ilvl="0">
      <w:lvlJc w:val="left"/>
      <w:lvlText w:val="(%1)"/>
      <w:numFmt w:val="lowerRoman"/>
      <w:start w:val="1"/>
    </w:lvl>
  </w:abstractNum>
  <w:abstractNum w:abstractNumId="8">
    <w:nsid w:val="7C83E458"/>
    <w:multiLevelType w:val="hybridMultilevel"/>
    <w:lvl w:ilvl="0">
      <w:lvlJc w:val="left"/>
      <w:lvlText w:val="\endash "/>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lvl w:ilvl="1">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1)"/>
      <w:numFmt w:val="lowerRoman"/>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lvl w:ilvl="1">
      <w:lvlJc w:val="left"/>
      <w:lvlText w:val="%2"/>
      <w:numFmt w:val="decimal"/>
      <w:start w:val="104"/>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lowerLetter"/>
      <w:start w:val="1"/>
    </w:lvl>
  </w:abstractNum>
  <w:abstractNum w:abstractNumId="21">
    <w:nsid w:val="4353D0CD"/>
    <w:multiLevelType w:val="hybridMultilevel"/>
    <w:lvl w:ilvl="0">
      <w:lvlJc w:val="left"/>
      <w:lvlText w:val="%1."/>
      <w:numFmt w:val="decimal"/>
      <w:start w:val="5"/>
    </w:lvl>
  </w:abstractNum>
  <w:abstractNum w:abstractNumId="22">
    <w:nsid w:val="B03E0C6"/>
    <w:multiLevelType w:val="hybridMultilevel"/>
    <w:lvl w:ilvl="0">
      <w:lvlJc w:val="left"/>
      <w:lvlText w:val="(%1)"/>
      <w:numFmt w:val="lowerLetter"/>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5"/>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49" Type="http://schemas.openxmlformats.org/officeDocument/2006/relationships/hyperlink" Target="https://www.sec.gov/Archives/edgar/data/1704292/000170429226000015/ex1025employmentagreementb.htm" TargetMode="External"/><Relationship Id="rId50" Type="http://schemas.openxmlformats.org/officeDocument/2006/relationships/hyperlink" Target="https://www.sec.gov/Archives/edgar/data/1704292/000170429226000015/ex1029amendmenttoemploymen.htm" TargetMode="External"/><Relationship Id="rId51" Type="http://schemas.openxmlformats.org/officeDocument/2006/relationships/hyperlink" Target="https://www.sec.gov/Archives/edgar/data/1704292/000170429226000015/ex1038unofficialenglishtra.htm" TargetMode="External"/><Relationship Id="rId52" Type="http://schemas.openxmlformats.org/officeDocument/2006/relationships/hyperlink" Target="https://www.sec.gov/Archives/edgar/data/1704292/000170429226000015/ex1039unofficialenglishtr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2026-05-07T05:23:25Z</dcterms:created>
  <dcterms:modified xsi:type="dcterms:W3CDTF">2026-05-07T05:23:25Z</dcterms:modified>
</cp:coreProperties>
</file>