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ind w:left="0" w:right="0" w:firstLine="54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540"/>
        <w:jc w:val="center"/>
        <w:rPr>
          <w:rFonts w:ascii="Times New Roman;serif" w:hAnsi="Times New Roman;serif"/>
          <w:b/>
          <w:color w:val="000000"/>
          <w:sz w:val="20"/>
        </w:rPr>
      </w:pPr>
      <w:r>
        <w:rPr>
          <w:rFonts w:ascii="Times New Roman;serif" w:hAnsi="Times New Roman;serif"/>
          <w:b/>
          <w:color w:val="000000"/>
          <w:sz w:val="20"/>
        </w:rPr>
        <w:t xml:space="preserve">UNITED STATES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SECURITIES AND EXCHANGE COMMISSION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WASHINGTON, DC 20549 </w:t>
      </w:r>
    </w:p>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240" w:after="283"/>
        <w:ind w:left="0" w:right="0" w:firstLine="54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240" w:after="283"/>
        <w:ind w:left="0" w:right="0" w:firstLine="540"/>
        <w:jc w:val="left"/>
        <w:rPr>
          <w:rFonts w:ascii="Times New Roman;serif" w:hAnsi="Times New Roman;serif"/>
          <w:b/>
          <w:color w:val="000000"/>
          <w:sz w:val="20"/>
        </w:rPr>
      </w:pPr>
      <w:r>
        <w:rPr>
          <w:rFonts w:ascii="Times New Roman;serif" w:hAnsi="Times New Roman;serif"/>
          <w:b/>
          <w:color w:val="000000"/>
          <w:sz w:val="20"/>
        </w:rPr>
        <w:t xml:space="preserve">(Mark One) </w:t>
      </w:r>
    </w:p>
    <w:tbl>
      <w:tblPr>
        <w:tblW w:w="10205" w:type="dxa"/>
        <w:jc w:val="left"/>
        <w:tblInd w:w="0" w:type="dxa"/>
        <w:tblLayout w:type="fixed"/>
        <w:tblCellMar>
          <w:top w:w="28" w:type="dxa"/>
          <w:left w:w="28" w:type="dxa"/>
          <w:bottom w:w="28" w:type="dxa"/>
          <w:right w:w="28" w:type="dxa"/>
        </w:tblCellMar>
      </w:tblPr>
      <w:tblGrid>
        <w:gridCol w:w="136"/>
        <w:gridCol w:w="119"/>
        <w:gridCol w:w="121"/>
        <w:gridCol w:w="2875"/>
        <w:gridCol w:w="2875"/>
        <w:gridCol w:w="4079"/>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4079"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4"/>
              </w:rPr>
            </w:pPr>
            <w:r>
              <w:rPr>
                <w:rFonts w:ascii="Wingdings;sans-serif" w:hAnsi="Wingdings;sans-serif"/>
                <w:b w:val="false"/>
                <w:color w:val="000000"/>
                <w:sz w:val="24"/>
              </w:rPr>
              <w:t>x</w:t>
            </w:r>
          </w:p>
        </w:tc>
        <w:tc>
          <w:tcPr>
            <w:tcW w:w="98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4"/>
              </w:rPr>
            </w:pPr>
            <w:r>
              <w:rPr>
                <w:rFonts w:ascii="Times New Roman;serif" w:hAnsi="Times New Roman;serif"/>
                <w:b/>
                <w:color w:val="000000"/>
                <w:sz w:val="24"/>
              </w:rPr>
              <w:t xml:space="preserve">QUARTERLY REPORT PURSUANT TO SECTION 13 OR 15(d) OF THE SECURITIES EXCHANGE ACT OF 1934 </w:t>
            </w:r>
          </w:p>
        </w:tc>
      </w:tr>
    </w:tbl>
    <w:p>
      <w:pPr>
        <w:pStyle w:val="TextBody"/>
        <w:bidi w:val="0"/>
        <w:spacing w:lineRule="auto" w:line="288" w:before="240" w:after="283"/>
        <w:ind w:left="0" w:right="0" w:firstLine="54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240" w:after="283"/>
        <w:ind w:left="0" w:right="0" w:firstLine="54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4"/>
              </w:rPr>
            </w:pPr>
            <w:r>
              <w:rPr>
                <w:rFonts w:ascii="Wingdings;sans-serif" w:hAnsi="Wingdings;sans-serif"/>
                <w:b w:val="false"/>
                <w:color w:val="000000"/>
                <w:sz w:val="24"/>
              </w:rPr>
              <w:t>o</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4"/>
              </w:rPr>
            </w:pPr>
            <w:r>
              <w:rPr>
                <w:rFonts w:ascii="Times New Roman;serif" w:hAnsi="Times New Roman;serif"/>
                <w:b/>
                <w:color w:val="000000"/>
                <w:sz w:val="24"/>
              </w:rPr>
              <w:t xml:space="preserve">TRANSITION REPORT PURSUANT TO SECTION 13 OR 15(d) OF THE SECURITIES EXCHANGE ACT OF 1934 </w:t>
            </w:r>
          </w:p>
        </w:tc>
      </w:tr>
    </w:tbl>
    <w:p>
      <w:pPr>
        <w:pStyle w:val="TextBody"/>
        <w:bidi w:val="0"/>
        <w:spacing w:lineRule="auto" w:line="288" w:before="240" w:after="283"/>
        <w:ind w:left="0" w:right="0" w:firstLine="540"/>
        <w:jc w:val="center"/>
        <w:rPr>
          <w:rFonts w:ascii="Times New Roman;serif" w:hAnsi="Times New Roman;serif"/>
          <w:b/>
          <w:color w:val="000000"/>
          <w:sz w:val="20"/>
        </w:rPr>
      </w:pPr>
      <w:r>
        <w:rPr>
          <w:rFonts w:ascii="Times New Roman;serif" w:hAnsi="Times New Roman;serif"/>
          <w:b/>
          <w:color w:val="000000"/>
          <w:sz w:val="20"/>
        </w:rPr>
        <w:t>For the transition period from ______ to ______</w:t>
      </w:r>
    </w:p>
    <w:p>
      <w:pPr>
        <w:pStyle w:val="TextBody"/>
        <w:bidi w:val="0"/>
        <w:spacing w:lineRule="auto" w:line="288" w:before="240" w:after="283"/>
        <w:ind w:left="0" w:right="0" w:firstLine="540"/>
        <w:jc w:val="center"/>
        <w:rPr>
          <w:rFonts w:ascii="Times New Roman;serif" w:hAnsi="Times New Roman;serif"/>
          <w:b/>
          <w:color w:val="000000"/>
          <w:sz w:val="20"/>
        </w:rPr>
      </w:pPr>
      <w:r>
        <w:rPr>
          <w:rFonts w:ascii="Times New Roman;serif" w:hAnsi="Times New Roman;serif"/>
          <w:b/>
          <w:color w:val="000000"/>
          <w:sz w:val="20"/>
        </w:rPr>
        <w:t>Commission File Number: 001-38205</w:t>
      </w:r>
    </w:p>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before="0" w:after="0"/>
        <w:ind w:left="0" w:right="0" w:firstLine="540"/>
        <w:jc w:val="center"/>
        <w:rPr/>
      </w:pPr>
      <w:r>
        <w:rPr/>
        <w:drawing>
          <wp:inline distT="0" distB="0" distL="0" distR="0">
            <wp:extent cx="1143000" cy="37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43000" cy="371475"/>
                    </a:xfrm>
                    <a:prstGeom prst="rect">
                      <a:avLst/>
                    </a:prstGeom>
                  </pic:spPr>
                </pic:pic>
              </a:graphicData>
            </a:graphic>
          </wp:inline>
        </w:drawing>
      </w:r>
      <w:bookmarkStart w:id="0" w:name="i-1"/>
      <w:bookmarkEnd w:id="0"/>
    </w:p>
    <w:p>
      <w:pPr>
        <w:pStyle w:val="TextBody"/>
        <w:bidi w:val="0"/>
        <w:spacing w:lineRule="auto" w:line="288" w:before="240" w:after="283"/>
        <w:ind w:left="0" w:right="0" w:firstLine="540"/>
        <w:jc w:val="center"/>
        <w:rPr>
          <w:rFonts w:ascii="Times New Roman;serif" w:hAnsi="Times New Roman;serif"/>
          <w:b/>
          <w:color w:val="000000"/>
          <w:sz w:val="20"/>
        </w:rPr>
      </w:pPr>
      <w:r>
        <w:rPr>
          <w:rFonts w:ascii="Times New Roman;serif" w:hAnsi="Times New Roman;serif"/>
          <w:b/>
          <w:color w:val="000000"/>
          <w:sz w:val="20"/>
        </w:rPr>
        <w:t>ZAI LAB LIMITED</w: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____________________</w:t>
      </w:r>
    </w:p>
    <w:tbl>
      <w:tblPr>
        <w:tblW w:w="4498" w:type="dxa"/>
        <w:jc w:val="center"/>
        <w:tblInd w:w="0" w:type="dxa"/>
        <w:tblLayout w:type="fixed"/>
        <w:tblCellMar>
          <w:top w:w="28" w:type="dxa"/>
          <w:left w:w="28" w:type="dxa"/>
          <w:bottom w:w="28" w:type="dxa"/>
          <w:right w:w="28" w:type="dxa"/>
        </w:tblCellMar>
      </w:tblPr>
      <w:tblGrid>
        <w:gridCol w:w="1090"/>
        <w:gridCol w:w="960"/>
        <w:gridCol w:w="964"/>
        <w:gridCol w:w="433"/>
        <w:gridCol w:w="433"/>
        <w:gridCol w:w="618"/>
      </w:tblGrid>
      <w:tr>
        <w:trPr/>
        <w:tc>
          <w:tcPr>
            <w:tcW w:w="109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Cayman Islands</w:t>
            </w:r>
          </w:p>
        </w:tc>
        <w:tc>
          <w:tcPr>
            <w:tcW w:w="14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98-1144595</w:t>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899 Halei Road</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Building B, Pudong</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Shanghai</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China</w:t>
            </w:r>
          </w:p>
        </w:tc>
        <w:tc>
          <w:tcPr>
            <w:tcW w:w="1484"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201203</w:t>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314 Main Street</w:t>
              <w:br/>
              <w:t>4th Floor, Suite 100</w:t>
              <w:br/>
              <w:t>Cambridge, MA, USA</w:t>
            </w:r>
          </w:p>
        </w:tc>
        <w:tc>
          <w:tcPr>
            <w:tcW w:w="14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02142</w:t>
            </w:r>
          </w:p>
        </w:tc>
      </w:tr>
      <w:tr>
        <w:trPr/>
        <w:tc>
          <w:tcPr>
            <w:tcW w:w="301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14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center"/>
        <w:rPr>
          <w:rFonts w:ascii="Times New Roman;serif" w:hAnsi="Times New Roman;serif"/>
          <w:b/>
          <w:color w:val="000000"/>
          <w:sz w:val="20"/>
        </w:rPr>
      </w:pPr>
      <w:r>
        <w:rPr>
          <w:rFonts w:ascii="Times New Roman;serif" w:hAnsi="Times New Roman;serif"/>
          <w:b/>
          <w:color w:val="000000"/>
          <w:sz w:val="20"/>
        </w:rPr>
        <w:t>+86 216163 2588</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+1 857 706 2604</w: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w:t>
      </w:r>
    </w:p>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Securities registered pursuant to Section 12(b) of the Act: </w:t>
      </w:r>
    </w:p>
    <w:tbl>
      <w:tblPr>
        <w:tblW w:w="10205" w:type="dxa"/>
        <w:jc w:val="center"/>
        <w:tblInd w:w="0" w:type="dxa"/>
        <w:tblLayout w:type="fixed"/>
        <w:tblCellMar>
          <w:top w:w="28" w:type="dxa"/>
          <w:left w:w="28" w:type="dxa"/>
          <w:bottom w:w="28" w:type="dxa"/>
          <w:right w:w="28" w:type="dxa"/>
        </w:tblCellMar>
      </w:tblPr>
      <w:tblGrid>
        <w:gridCol w:w="2175"/>
        <w:gridCol w:w="1907"/>
        <w:gridCol w:w="1860"/>
        <w:gridCol w:w="109"/>
        <w:gridCol w:w="109"/>
        <w:gridCol w:w="109"/>
        <w:gridCol w:w="260"/>
        <w:gridCol w:w="260"/>
        <w:gridCol w:w="261"/>
        <w:gridCol w:w="109"/>
        <w:gridCol w:w="109"/>
        <w:gridCol w:w="109"/>
        <w:gridCol w:w="856"/>
        <w:gridCol w:w="814"/>
        <w:gridCol w:w="1158"/>
      </w:tblGrid>
      <w:tr>
        <w:trPr/>
        <w:tc>
          <w:tcPr>
            <w:tcW w:w="2175" w:type="dxa"/>
            <w:tcBorders/>
            <w:vAlign w:val="center"/>
          </w:tcPr>
          <w:p>
            <w:pPr>
              <w:pStyle w:val="TableContents"/>
              <w:bidi w:val="0"/>
              <w:spacing w:before="0" w:after="283"/>
              <w:jc w:val="left"/>
              <w:rPr>
                <w:sz w:val="4"/>
                <w:szCs w:val="4"/>
              </w:rPr>
            </w:pPr>
            <w:r>
              <w:rPr>
                <w:sz w:val="4"/>
                <w:szCs w:val="4"/>
              </w:rPr>
            </w:r>
          </w:p>
        </w:tc>
        <w:tc>
          <w:tcPr>
            <w:tcW w:w="1907" w:type="dxa"/>
            <w:tcBorders/>
            <w:vAlign w:val="center"/>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r>
      <w:tr>
        <w:trPr/>
        <w:tc>
          <w:tcPr>
            <w:tcW w:w="59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59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American Depositary Shares, each representing 10 Ordinary Shares, par value $0.000006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ZLAB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The Nasdaq Global Market</w:t>
            </w:r>
          </w:p>
        </w:tc>
      </w:tr>
      <w:tr>
        <w:trPr/>
        <w:tc>
          <w:tcPr>
            <w:tcW w:w="594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Ordinary Shares, par value $0.000006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9688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The Stock Exchange of Hong Kong Limited</w:t>
            </w:r>
          </w:p>
        </w:tc>
      </w:tr>
    </w:tbl>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*Included in connection with the registration of the American Depositary Shares with the Securities and Exchange Commission. The ordinary shares are not registered or listed for trading in the United States but are listed for trading on The Stock Exchange of Hong Kong Limited.</w:t>
      </w:r>
    </w:p>
    <w:p>
      <w:pPr>
        <w:pStyle w:val="TextBody"/>
        <w:bidi w:val="0"/>
        <w:spacing w:lineRule="auto" w:line="288" w:before="240" w:after="283"/>
        <w:ind w:left="0" w:right="0" w:firstLine="540"/>
        <w:jc w:val="left"/>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r>
        <w:rPr>
          <w:color w:val="000000"/>
          <w:shd w:fill="FFFFFF" w:val="clear"/>
        </w:rPr>
        <w:t>☐</w:t>
      </w:r>
      <w:r>
        <w:rPr>
          <w:color w:val="000000"/>
        </w:rPr>
        <w:t xml:space="preserve"> </w:t>
      </w:r>
    </w:p>
    <w:p>
      <w:pPr>
        <w:pStyle w:val="TextBody"/>
        <w:bidi w:val="0"/>
        <w:spacing w:lineRule="auto" w:line="288" w:before="240" w:after="283"/>
        <w:ind w:left="0" w:right="0" w:firstLine="540"/>
        <w:jc w:val="left"/>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r>
        <w:rPr>
          <w:color w:val="000000"/>
          <w:shd w:fill="FFFFFF" w:val="clear"/>
        </w:rPr>
        <w:t>☐</w:t>
      </w:r>
      <w:r>
        <w:rPr>
          <w:color w:val="000000"/>
        </w:rPr>
        <w:t xml:space="preserve">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661" w:type="dxa"/>
        <w:jc w:val="center"/>
        <w:tblInd w:w="0" w:type="dxa"/>
        <w:tblLayout w:type="fixed"/>
        <w:tblCellMar>
          <w:top w:w="28" w:type="dxa"/>
          <w:left w:w="28" w:type="dxa"/>
          <w:bottom w:w="28" w:type="dxa"/>
          <w:right w:w="28" w:type="dxa"/>
        </w:tblCellMar>
      </w:tblPr>
      <w:tblGrid>
        <w:gridCol w:w="842"/>
        <w:gridCol w:w="740"/>
        <w:gridCol w:w="743"/>
        <w:gridCol w:w="109"/>
        <w:gridCol w:w="109"/>
        <w:gridCol w:w="109"/>
        <w:gridCol w:w="109"/>
        <w:gridCol w:w="109"/>
        <w:gridCol w:w="109"/>
        <w:gridCol w:w="769"/>
        <w:gridCol w:w="769"/>
        <w:gridCol w:w="772"/>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Wingdings;sans-serif" w:hAnsi="Wingdings;sans-serif"/>
                <w:b w:val="false"/>
                <w:color w:val="000000"/>
                <w:sz w:val="20"/>
              </w:rPr>
            </w:pPr>
            <w:r>
              <w:rPr>
                <w:rFonts w:ascii="Wingdings;sans-serif" w:hAnsi="Wingdings;sans-serif"/>
                <w:b w:val="false"/>
                <w:color w:val="000000"/>
                <w:sz w:val="20"/>
              </w:rPr>
              <w:t>o</w:t>
            </w:r>
          </w:p>
        </w:tc>
      </w:tr>
      <w:tr>
        <w:trPr/>
        <w:tc>
          <w:tcPr>
            <w:tcW w:w="23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Wingdings;sans-serif" w:hAnsi="Wingdings;sans-serif"/>
                <w:b w:val="false"/>
                <w:color w:val="000000"/>
                <w:sz w:val="20"/>
              </w:rPr>
            </w:pPr>
            <w:r>
              <w:rPr>
                <w:rFonts w:ascii="Wingdings;sans-serif" w:hAnsi="Wingdings;sans-serif"/>
                <w:b w:val="false"/>
                <w:color w:val="000000"/>
                <w:sz w:val="20"/>
              </w:rPr>
              <w:t>o</w:t>
            </w:r>
          </w:p>
        </w:tc>
      </w:tr>
      <w:tr>
        <w:trPr/>
        <w:tc>
          <w:tcPr>
            <w:tcW w:w="23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shd w:fill="FFFFFF" w:val="clear"/>
        </w:rPr>
        <w:t>☐</w:t>
      </w:r>
      <w:r>
        <w:rPr>
          <w:color w:val="000000"/>
        </w:rPr>
        <w:t xml:space="preserve"> </w:t>
      </w:r>
    </w:p>
    <w:p>
      <w:pPr>
        <w:pStyle w:val="TextBody"/>
        <w:bidi w:val="0"/>
        <w:spacing w:lineRule="auto" w:line="288" w:before="240" w:after="283"/>
        <w:ind w:left="0" w:right="0" w:firstLine="540"/>
        <w:jc w:val="left"/>
        <w:rPr/>
      </w:pPr>
      <w:r>
        <w:rPr>
          <w:rFonts w:ascii="Times New Roman;serif" w:hAnsi="Times New Roman;serif"/>
          <w:b w:val="false"/>
          <w:color w:val="000000"/>
          <w:sz w:val="20"/>
        </w:rPr>
        <w:t xml:space="preserve">Indicate by check mark whether the registrant is a shell company (as defined in Rule 12b-2 of the Exchange Act). Yes </w:t>
      </w:r>
      <w:r>
        <w:rPr>
          <w:color w:val="000000"/>
          <w:shd w:fill="FFFFFF" w:val="clear"/>
        </w:rPr>
        <w:t>☐</w:t>
      </w:r>
      <w:r>
        <w:rPr>
          <w:color w:val="000000"/>
        </w:rPr>
        <w:t xml:space="preserve"> </w:t>
      </w:r>
      <w:r>
        <w:rPr>
          <w:rFonts w:ascii="Times New Roman;serif" w:hAnsi="Times New Roman;serif"/>
          <w:b w:val="false"/>
          <w:color w:val="000000"/>
          <w:sz w:val="20"/>
        </w:rPr>
        <w:t xml:space="preserve">No ☒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of July 31, 2026, 1,122,662,280 ordinary shares of the registrant, par value $0.000006 per share, were outstanding, of which 430,452,680 ordinary shares were held in the form of American Depositary Shares.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firstLine="5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540"/>
                        <w:jc w:val="center"/>
                        <w:rPr/>
                      </w:pPr>
                      <w:r>
                        <w:rPr/>
                      </w:r>
                    </w:p>
                  </w:txbxContent>
                </v:textbox>
                <w10:wrap type="none"/>
              </v:rect>
            </w:pict>
          </mc:Fallback>
        </mc:AlternateContent>
      </w:r>
    </w:p>
    <w:p>
      <w:pPr>
        <w:pStyle w:val="TextBody"/>
        <w:bidi w:val="0"/>
        <w:spacing w:lineRule="auto" w:line="288" w:before="120" w:after="283"/>
        <w:ind w:left="0" w:right="0" w:firstLine="540"/>
        <w:jc w:val="left"/>
        <w:rPr/>
      </w:pPr>
      <w:hyperlink w:anchor="ic981ecfacc9d40f482b966fd08c180b5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Zai Lab Limited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Quarterly Report on 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Second Quarter of 2026</w:t>
      </w:r>
    </w:p>
    <w:p>
      <w:pPr>
        <w:pStyle w:val="TextBody"/>
        <w:bidi w:val="0"/>
        <w:spacing w:before="0" w:after="0"/>
        <w:ind w:left="0" w:right="0" w:firstLine="540"/>
        <w:jc w:val="left"/>
        <w:rPr/>
      </w:pPr>
      <w:r>
        <w:rPr/>
      </w:r>
    </w:p>
    <w:tbl>
      <w:tblPr>
        <w:tblW w:w="10205" w:type="dxa"/>
        <w:jc w:val="center"/>
        <w:tblInd w:w="0" w:type="dxa"/>
        <w:tblLayout w:type="fixed"/>
        <w:tblCellMar>
          <w:top w:w="28" w:type="dxa"/>
          <w:left w:w="28" w:type="dxa"/>
          <w:bottom w:w="28" w:type="dxa"/>
          <w:right w:w="28" w:type="dxa"/>
        </w:tblCellMar>
      </w:tblPr>
      <w:tblGrid>
        <w:gridCol w:w="366"/>
        <w:gridCol w:w="320"/>
        <w:gridCol w:w="325"/>
        <w:gridCol w:w="2872"/>
        <w:gridCol w:w="2872"/>
        <w:gridCol w:w="2877"/>
        <w:gridCol w:w="167"/>
        <w:gridCol w:w="167"/>
        <w:gridCol w:w="239"/>
      </w:tblGrid>
      <w:tr>
        <w:trPr/>
        <w:tc>
          <w:tcPr>
            <w:tcW w:w="36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287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10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981ecfacc9d40f482b966fd08c180b5_13">
              <w:r>
                <w:rPr>
                  <w:rStyle w:val="InternetLink"/>
                  <w:rFonts w:ascii="Times New Roman;serif" w:hAnsi="Times New Roman;serif"/>
                  <w:b/>
                  <w:strike w:val="false"/>
                  <w:dstrike w:val="false"/>
                  <w:color w:val="000000"/>
                  <w:sz w:val="20"/>
                  <w:u w:val="none"/>
                  <w:effect w:val="none"/>
                </w:rPr>
                <w:t>PART I.</w:t>
              </w:r>
            </w:hyperlink>
          </w:p>
        </w:tc>
        <w:tc>
          <w:tcPr>
            <w:tcW w:w="86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981ecfacc9d40f482b966fd08c180b5_13">
              <w:r>
                <w:rPr>
                  <w:rStyle w:val="InternetLink"/>
                  <w:rFonts w:ascii="Times New Roman;serif" w:hAnsi="Times New Roman;serif"/>
                  <w:b/>
                  <w:color w:val="0000FF"/>
                  <w:sz w:val="20"/>
                  <w:u w:val="single"/>
                </w:rPr>
                <w:t>FINANCIAL INFORMATION</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981ecfacc9d40f482b966fd08c180b5_13">
              <w:r>
                <w:rPr>
                  <w:rStyle w:val="InternetLink"/>
                  <w:rFonts w:ascii="Times New Roman;serif" w:hAnsi="Times New Roman;serif"/>
                  <w:b w:val="false"/>
                  <w:strike w:val="false"/>
                  <w:dstrike w:val="false"/>
                  <w:color w:val="000000"/>
                  <w:sz w:val="20"/>
                  <w:u w:val="none"/>
                  <w:effect w:val="none"/>
                </w:rPr>
                <w:t>1</w:t>
              </w:r>
            </w:hyperlink>
          </w:p>
        </w:tc>
      </w:tr>
      <w:tr>
        <w:trPr/>
        <w:tc>
          <w:tcPr>
            <w:tcW w:w="10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981ecfacc9d40f482b966fd08c180b5_16">
              <w:r>
                <w:rPr>
                  <w:rStyle w:val="InternetLink"/>
                  <w:rFonts w:ascii="Times New Roman;serif" w:hAnsi="Times New Roman;serif"/>
                  <w:b w:val="false"/>
                  <w:strike w:val="false"/>
                  <w:dstrike w:val="false"/>
                  <w:color w:val="000000"/>
                  <w:sz w:val="20"/>
                  <w:u w:val="none"/>
                  <w:effect w:val="none"/>
                </w:rPr>
                <w:t>Item 1.</w:t>
              </w:r>
            </w:hyperlink>
          </w:p>
        </w:tc>
        <w:tc>
          <w:tcPr>
            <w:tcW w:w="86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981ecfacc9d40f482b966fd08c180b5_16">
              <w:r>
                <w:rPr>
                  <w:rStyle w:val="InternetLink"/>
                  <w:rFonts w:ascii="Times New Roman;serif" w:hAnsi="Times New Roman;serif"/>
                  <w:b w:val="false"/>
                  <w:color w:val="0000FF"/>
                  <w:sz w:val="20"/>
                  <w:u w:val="single"/>
                </w:rPr>
                <w:t>Financial Statements (Unaudited)</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981ecfacc9d40f482b966fd08c180b5_16">
              <w:r>
                <w:rPr>
                  <w:rStyle w:val="InternetLink"/>
                  <w:rFonts w:ascii="Times New Roman;serif" w:hAnsi="Times New Roman;serif"/>
                  <w:b w:val="false"/>
                  <w:strike w:val="false"/>
                  <w:dstrike w:val="false"/>
                  <w:color w:val="000000"/>
                  <w:sz w:val="20"/>
                  <w:u w:val="none"/>
                  <w:effect w:val="none"/>
                </w:rPr>
                <w:t>2</w:t>
              </w:r>
            </w:hyperlink>
          </w:p>
        </w:tc>
      </w:tr>
      <w:tr>
        <w:trPr/>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981ecfacc9d40f482b966fd08c180b5_19">
              <w:r>
                <w:rPr>
                  <w:rStyle w:val="InternetLink"/>
                  <w:rFonts w:ascii="Times New Roman;serif" w:hAnsi="Times New Roman;serif"/>
                  <w:b w:val="false"/>
                  <w:color w:val="000080"/>
                  <w:sz w:val="20"/>
                  <w:u w:val="single"/>
                </w:rPr>
                <w:t xml:space="preserve">Condensed Consolidated Balance Sheets as of </w:t>
              </w:r>
            </w:hyperlink>
            <w:hyperlink w:anchor="ic981ecfacc9d40f482b966fd08c180b5_19">
              <w:r>
                <w:rPr>
                  <w:rStyle w:val="InternetLink"/>
                  <w:rFonts w:ascii="Times New Roman;serif" w:hAnsi="Times New Roman;serif"/>
                  <w:b w:val="false"/>
                  <w:color w:val="000080"/>
                  <w:sz w:val="20"/>
                  <w:u w:val="single"/>
                </w:rPr>
                <w:t>June 30</w:t>
              </w:r>
            </w:hyperlink>
            <w:hyperlink w:anchor="ic981ecfacc9d40f482b966fd08c180b5_19">
              <w:r>
                <w:rPr>
                  <w:rStyle w:val="InternetLink"/>
                  <w:rFonts w:ascii="Times New Roman;serif" w:hAnsi="Times New Roman;serif"/>
                  <w:b w:val="false"/>
                  <w:color w:val="000080"/>
                  <w:sz w:val="20"/>
                  <w:u w:val="single"/>
                </w:rPr>
                <w:t>, 2026 and December 31, 2025</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981ecfacc9d40f482b966fd08c180b5_19">
              <w:r>
                <w:rPr>
                  <w:rStyle w:val="InternetLink"/>
                  <w:rFonts w:ascii="Times New Roman;serif" w:hAnsi="Times New Roman;serif"/>
                  <w:b w:val="false"/>
                  <w:strike w:val="false"/>
                  <w:dstrike w:val="false"/>
                  <w:color w:val="000000"/>
                  <w:sz w:val="20"/>
                  <w:u w:val="none"/>
                  <w:effect w:val="none"/>
                </w:rPr>
                <w:t>2</w:t>
              </w:r>
            </w:hyperlink>
          </w:p>
        </w:tc>
      </w:tr>
      <w:tr>
        <w:trPr/>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981ecfacc9d40f482b966fd08c180b5_22">
              <w:r>
                <w:rPr>
                  <w:rStyle w:val="InternetLink"/>
                  <w:rFonts w:ascii="Times New Roman;serif" w:hAnsi="Times New Roman;serif"/>
                  <w:b w:val="false"/>
                  <w:color w:val="000080"/>
                  <w:sz w:val="20"/>
                  <w:u w:val="single"/>
                </w:rPr>
                <w:t>Condensed Consolidated Statements of Operations for the Three</w:t>
              </w:r>
            </w:hyperlink>
            <w:hyperlink w:anchor="ic981ecfacc9d40f482b966fd08c180b5_22">
              <w:r>
                <w:rPr>
                  <w:rStyle w:val="InternetLink"/>
                  <w:rFonts w:ascii="Times New Roman;serif" w:hAnsi="Times New Roman;serif"/>
                  <w:b w:val="false"/>
                  <w:color w:val="000080"/>
                  <w:sz w:val="20"/>
                  <w:u w:val="single"/>
                </w:rPr>
                <w:t xml:space="preserve"> and Six</w:t>
              </w:r>
            </w:hyperlink>
            <w:hyperlink w:anchor="ic981ecfacc9d40f482b966fd08c180b5_22">
              <w:r>
                <w:rPr>
                  <w:rStyle w:val="InternetLink"/>
                  <w:rFonts w:ascii="Times New Roman;serif" w:hAnsi="Times New Roman;serif"/>
                  <w:b w:val="false"/>
                  <w:color w:val="000080"/>
                  <w:sz w:val="20"/>
                  <w:u w:val="single"/>
                </w:rPr>
                <w:t xml:space="preserve"> Months Ended </w:t>
              </w:r>
            </w:hyperlink>
            <w:hyperlink w:anchor="ic981ecfacc9d40f482b966fd08c180b5_22">
              <w:r>
                <w:rPr>
                  <w:rStyle w:val="InternetLink"/>
                  <w:rFonts w:ascii="Times New Roman;serif" w:hAnsi="Times New Roman;serif"/>
                  <w:b w:val="false"/>
                  <w:color w:val="000080"/>
                  <w:sz w:val="20"/>
                  <w:u w:val="single"/>
                </w:rPr>
                <w:t>June 30</w:t>
              </w:r>
            </w:hyperlink>
            <w:hyperlink w:anchor="ic981ecfacc9d40f482b966fd08c180b5_22">
              <w:r>
                <w:rPr>
                  <w:rStyle w:val="InternetLink"/>
                  <w:rFonts w:ascii="Times New Roman;serif" w:hAnsi="Times New Roman;serif"/>
                  <w:b w:val="false"/>
                  <w:color w:val="000080"/>
                  <w:sz w:val="20"/>
                  <w:u w:val="single"/>
                </w:rPr>
                <w:t>, 2026 and 2025</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981ecfacc9d40f482b966fd08c180b5_22">
              <w:r>
                <w:rPr>
                  <w:rStyle w:val="InternetLink"/>
                  <w:rFonts w:ascii="Times New Roman;serif" w:hAnsi="Times New Roman;serif"/>
                  <w:b w:val="false"/>
                  <w:strike w:val="false"/>
                  <w:dstrike w:val="false"/>
                  <w:color w:val="000000"/>
                  <w:sz w:val="20"/>
                  <w:u w:val="none"/>
                  <w:effect w:val="none"/>
                </w:rPr>
                <w:t>3</w:t>
              </w:r>
            </w:hyperlink>
          </w:p>
        </w:tc>
      </w:tr>
      <w:tr>
        <w:trPr/>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981ecfacc9d40f482b966fd08c180b5_25">
              <w:r>
                <w:rPr>
                  <w:rStyle w:val="InternetLink"/>
                  <w:rFonts w:ascii="Times New Roman;serif" w:hAnsi="Times New Roman;serif"/>
                  <w:b w:val="false"/>
                  <w:color w:val="000080"/>
                  <w:sz w:val="20"/>
                  <w:u w:val="single"/>
                </w:rPr>
                <w:t xml:space="preserve">Condensed Consolidated Statements of Comprehensive Loss for the </w:t>
              </w:r>
            </w:hyperlink>
            <w:hyperlink w:anchor="ic981ecfacc9d40f482b966fd08c180b5_25">
              <w:r>
                <w:rPr>
                  <w:rStyle w:val="InternetLink"/>
                  <w:rFonts w:ascii="Times New Roman;serif" w:hAnsi="Times New Roman;serif"/>
                  <w:b w:val="false"/>
                  <w:color w:val="000080"/>
                  <w:sz w:val="20"/>
                  <w:u w:val="single"/>
                </w:rPr>
                <w:t>Three and Six Months</w:t>
              </w:r>
            </w:hyperlink>
            <w:hyperlink w:anchor="ic981ecfacc9d40f482b966fd08c180b5_25">
              <w:r>
                <w:rPr>
                  <w:rStyle w:val="InternetLink"/>
                  <w:rFonts w:ascii="Times New Roman;serif" w:hAnsi="Times New Roman;serif"/>
                  <w:b w:val="false"/>
                  <w:color w:val="000080"/>
                  <w:sz w:val="20"/>
                  <w:u w:val="single"/>
                </w:rPr>
                <w:t xml:space="preserve"> Ended </w:t>
              </w:r>
            </w:hyperlink>
            <w:hyperlink w:anchor="ic981ecfacc9d40f482b966fd08c180b5_25">
              <w:r>
                <w:rPr>
                  <w:rStyle w:val="InternetLink"/>
                  <w:rFonts w:ascii="Times New Roman;serif" w:hAnsi="Times New Roman;serif"/>
                  <w:b w:val="false"/>
                  <w:color w:val="000080"/>
                  <w:sz w:val="20"/>
                  <w:u w:val="single"/>
                </w:rPr>
                <w:t>June 30</w:t>
              </w:r>
            </w:hyperlink>
            <w:hyperlink w:anchor="ic981ecfacc9d40f482b966fd08c180b5_25">
              <w:r>
                <w:rPr>
                  <w:rStyle w:val="InternetLink"/>
                  <w:rFonts w:ascii="Times New Roman;serif" w:hAnsi="Times New Roman;serif"/>
                  <w:b w:val="false"/>
                  <w:color w:val="000080"/>
                  <w:sz w:val="20"/>
                  <w:u w:val="single"/>
                </w:rPr>
                <w:t xml:space="preserve">, 2026 and 2025 </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981ecfacc9d40f482b966fd08c180b5_25">
              <w:r>
                <w:rPr>
                  <w:rStyle w:val="InternetLink"/>
                  <w:rFonts w:ascii="Times New Roman;serif" w:hAnsi="Times New Roman;serif"/>
                  <w:b w:val="false"/>
                  <w:strike w:val="false"/>
                  <w:dstrike w:val="false"/>
                  <w:color w:val="000000"/>
                  <w:sz w:val="20"/>
                  <w:u w:val="none"/>
                  <w:effect w:val="none"/>
                </w:rPr>
                <w:t>4</w:t>
              </w:r>
            </w:hyperlink>
          </w:p>
        </w:tc>
      </w:tr>
      <w:tr>
        <w:trPr/>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981ecfacc9d40f482b966fd08c180b5_28">
              <w:r>
                <w:rPr>
                  <w:rStyle w:val="InternetLink"/>
                  <w:rFonts w:ascii="Times New Roman;serif" w:hAnsi="Times New Roman;serif"/>
                  <w:b w:val="false"/>
                  <w:color w:val="000080"/>
                  <w:sz w:val="20"/>
                  <w:u w:val="single"/>
                </w:rPr>
                <w:t xml:space="preserve">Condensed Consolidated Statements of Shareholders’ Equity for the </w:t>
              </w:r>
            </w:hyperlink>
            <w:hyperlink w:anchor="ic981ecfacc9d40f482b966fd08c180b5_28">
              <w:r>
                <w:rPr>
                  <w:rStyle w:val="InternetLink"/>
                  <w:rFonts w:ascii="Times New Roman;serif" w:hAnsi="Times New Roman;serif"/>
                  <w:b w:val="false"/>
                  <w:color w:val="000080"/>
                  <w:sz w:val="20"/>
                  <w:u w:val="single"/>
                </w:rPr>
                <w:t>Three and Six Months</w:t>
              </w:r>
            </w:hyperlink>
            <w:hyperlink w:anchor="ic981ecfacc9d40f482b966fd08c180b5_28">
              <w:r>
                <w:rPr>
                  <w:rStyle w:val="InternetLink"/>
                  <w:rFonts w:ascii="Times New Roman;serif" w:hAnsi="Times New Roman;serif"/>
                  <w:b w:val="false"/>
                  <w:color w:val="000080"/>
                  <w:sz w:val="20"/>
                  <w:u w:val="single"/>
                </w:rPr>
                <w:t xml:space="preserve"> Ended </w:t>
              </w:r>
            </w:hyperlink>
            <w:hyperlink w:anchor="ic981ecfacc9d40f482b966fd08c180b5_28">
              <w:r>
                <w:rPr>
                  <w:rStyle w:val="InternetLink"/>
                  <w:rFonts w:ascii="Times New Roman;serif" w:hAnsi="Times New Roman;serif"/>
                  <w:b w:val="false"/>
                  <w:color w:val="000080"/>
                  <w:sz w:val="20"/>
                  <w:u w:val="single"/>
                </w:rPr>
                <w:t>June 30</w:t>
              </w:r>
            </w:hyperlink>
            <w:hyperlink w:anchor="ic981ecfacc9d40f482b966fd08c180b5_28">
              <w:r>
                <w:rPr>
                  <w:rStyle w:val="InternetLink"/>
                  <w:rFonts w:ascii="Times New Roman;serif" w:hAnsi="Times New Roman;serif"/>
                  <w:b w:val="false"/>
                  <w:color w:val="000080"/>
                  <w:sz w:val="20"/>
                  <w:u w:val="single"/>
                </w:rPr>
                <w:t>, 2026 and 2025</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981ecfacc9d40f482b966fd08c180b5_28">
              <w:r>
                <w:rPr>
                  <w:rStyle w:val="InternetLink"/>
                  <w:rFonts w:ascii="Times New Roman;serif" w:hAnsi="Times New Roman;serif"/>
                  <w:b w:val="false"/>
                  <w:strike w:val="false"/>
                  <w:dstrike w:val="false"/>
                  <w:color w:val="000000"/>
                  <w:sz w:val="20"/>
                  <w:u w:val="none"/>
                  <w:effect w:val="none"/>
                </w:rPr>
                <w:t>5</w:t>
              </w:r>
            </w:hyperlink>
          </w:p>
        </w:tc>
      </w:tr>
      <w:tr>
        <w:trPr/>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981ecfacc9d40f482b966fd08c180b5_31">
              <w:r>
                <w:rPr>
                  <w:rStyle w:val="InternetLink"/>
                  <w:rFonts w:ascii="Times New Roman;serif" w:hAnsi="Times New Roman;serif"/>
                  <w:b w:val="false"/>
                  <w:color w:val="000080"/>
                  <w:sz w:val="20"/>
                  <w:u w:val="single"/>
                </w:rPr>
                <w:t xml:space="preserve">Condensed Consolidated Statements of Cash Flows for the </w:t>
              </w:r>
            </w:hyperlink>
            <w:hyperlink w:anchor="ic981ecfacc9d40f482b966fd08c180b5_31">
              <w:r>
                <w:rPr>
                  <w:rStyle w:val="InternetLink"/>
                  <w:rFonts w:ascii="Times New Roman;serif" w:hAnsi="Times New Roman;serif"/>
                  <w:b w:val="false"/>
                  <w:color w:val="000080"/>
                  <w:sz w:val="20"/>
                  <w:u w:val="single"/>
                </w:rPr>
                <w:t>Three and Six Months</w:t>
              </w:r>
            </w:hyperlink>
            <w:hyperlink w:anchor="ic981ecfacc9d40f482b966fd08c180b5_31">
              <w:r>
                <w:rPr>
                  <w:rStyle w:val="InternetLink"/>
                  <w:rFonts w:ascii="Times New Roman;serif" w:hAnsi="Times New Roman;serif"/>
                  <w:b w:val="false"/>
                  <w:color w:val="000080"/>
                  <w:sz w:val="20"/>
                  <w:u w:val="single"/>
                </w:rPr>
                <w:t xml:space="preserve"> Ended </w:t>
              </w:r>
            </w:hyperlink>
            <w:hyperlink w:anchor="ic981ecfacc9d40f482b966fd08c180b5_31">
              <w:r>
                <w:rPr>
                  <w:rStyle w:val="InternetLink"/>
                  <w:rFonts w:ascii="Times New Roman;serif" w:hAnsi="Times New Roman;serif"/>
                  <w:b w:val="false"/>
                  <w:color w:val="000080"/>
                  <w:sz w:val="20"/>
                  <w:u w:val="single"/>
                </w:rPr>
                <w:t>June 30</w:t>
              </w:r>
            </w:hyperlink>
            <w:hyperlink w:anchor="ic981ecfacc9d40f482b966fd08c180b5_31">
              <w:r>
                <w:rPr>
                  <w:rStyle w:val="InternetLink"/>
                  <w:rFonts w:ascii="Times New Roman;serif" w:hAnsi="Times New Roman;serif"/>
                  <w:b w:val="false"/>
                  <w:color w:val="000080"/>
                  <w:sz w:val="20"/>
                  <w:u w:val="single"/>
                </w:rPr>
                <w:t>, 2026 and 2025</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981ecfacc9d40f482b966fd08c180b5_31">
              <w:r>
                <w:rPr>
                  <w:rStyle w:val="InternetLink"/>
                  <w:rFonts w:ascii="Times New Roman;serif" w:hAnsi="Times New Roman;serif"/>
                  <w:b w:val="false"/>
                  <w:strike w:val="false"/>
                  <w:dstrike w:val="false"/>
                  <w:color w:val="000000"/>
                  <w:sz w:val="20"/>
                  <w:u w:val="none"/>
                  <w:effect w:val="none"/>
                </w:rPr>
                <w:t>7</w:t>
              </w:r>
            </w:hyperlink>
          </w:p>
        </w:tc>
      </w:tr>
      <w:tr>
        <w:trPr/>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981ecfacc9d40f482b966fd08c180b5_34">
              <w:r>
                <w:rPr>
                  <w:rStyle w:val="InternetLink"/>
                  <w:rFonts w:ascii="Times New Roman;serif" w:hAnsi="Times New Roman;serif"/>
                  <w:b w:val="false"/>
                  <w:color w:val="0000FF"/>
                  <w:sz w:val="20"/>
                  <w:u w:val="single"/>
                </w:rPr>
                <w:t>Notes to the Unaudited Condensed Consolidated Financial Statements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981ecfacc9d40f482b966fd08c180b5_34">
              <w:r>
                <w:rPr>
                  <w:rStyle w:val="InternetLink"/>
                  <w:rFonts w:ascii="Times New Roman;serif" w:hAnsi="Times New Roman;serif"/>
                  <w:b w:val="false"/>
                  <w:strike w:val="false"/>
                  <w:dstrike w:val="false"/>
                  <w:color w:val="000000"/>
                  <w:sz w:val="20"/>
                  <w:u w:val="none"/>
                  <w:effect w:val="none"/>
                </w:rPr>
                <w:t>8</w:t>
              </w:r>
            </w:hyperlink>
          </w:p>
        </w:tc>
      </w:tr>
      <w:tr>
        <w:trPr/>
        <w:tc>
          <w:tcPr>
            <w:tcW w:w="10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981ecfacc9d40f482b966fd08c180b5_103">
              <w:r>
                <w:rPr>
                  <w:rStyle w:val="InternetLink"/>
                  <w:rFonts w:ascii="Times New Roman;serif" w:hAnsi="Times New Roman;serif"/>
                  <w:b w:val="false"/>
                  <w:strike w:val="false"/>
                  <w:dstrike w:val="false"/>
                  <w:color w:val="000000"/>
                  <w:sz w:val="20"/>
                  <w:u w:val="none"/>
                  <w:effect w:val="none"/>
                </w:rPr>
                <w:t>Item 2.</w:t>
              </w:r>
            </w:hyperlink>
          </w:p>
        </w:tc>
        <w:tc>
          <w:tcPr>
            <w:tcW w:w="86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981ecfacc9d40f482b966fd08c180b5_103">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981ecfacc9d40f482b966fd08c180b5_103">
              <w:r>
                <w:rPr>
                  <w:rStyle w:val="InternetLink"/>
                  <w:rFonts w:ascii="Times New Roman;serif" w:hAnsi="Times New Roman;serif"/>
                  <w:b w:val="false"/>
                  <w:strike w:val="false"/>
                  <w:dstrike w:val="false"/>
                  <w:color w:val="000000"/>
                  <w:sz w:val="20"/>
                  <w:u w:val="none"/>
                  <w:effect w:val="none"/>
                </w:rPr>
                <w:t>19</w:t>
              </w:r>
            </w:hyperlink>
          </w:p>
        </w:tc>
      </w:tr>
      <w:tr>
        <w:trPr/>
        <w:tc>
          <w:tcPr>
            <w:tcW w:w="10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981ecfacc9d40f482b966fd08c180b5_136">
              <w:r>
                <w:rPr>
                  <w:rStyle w:val="InternetLink"/>
                  <w:rFonts w:ascii="Times New Roman;serif" w:hAnsi="Times New Roman;serif"/>
                  <w:b w:val="false"/>
                  <w:strike w:val="false"/>
                  <w:dstrike w:val="false"/>
                  <w:color w:val="000000"/>
                  <w:sz w:val="20"/>
                  <w:u w:val="none"/>
                  <w:effect w:val="none"/>
                </w:rPr>
                <w:t>Item 3.</w:t>
              </w:r>
            </w:hyperlink>
          </w:p>
        </w:tc>
        <w:tc>
          <w:tcPr>
            <w:tcW w:w="86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981ecfacc9d40f482b966fd08c180b5_136">
              <w:r>
                <w:rPr>
                  <w:rStyle w:val="InternetLink"/>
                  <w:rFonts w:ascii="Times New Roman;serif" w:hAnsi="Times New Roman;serif"/>
                  <w:b w:val="false"/>
                  <w:color w:val="0000FF"/>
                  <w:sz w:val="20"/>
                  <w:u w:val="single"/>
                </w:rPr>
                <w:t>Quantitative and Qualitative Disclosures about Market Risk</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981ecfacc9d40f482b966fd08c180b5_136">
              <w:r>
                <w:rPr>
                  <w:rStyle w:val="InternetLink"/>
                  <w:rFonts w:ascii="Times New Roman;serif" w:hAnsi="Times New Roman;serif"/>
                  <w:b w:val="false"/>
                  <w:strike w:val="false"/>
                  <w:dstrike w:val="false"/>
                  <w:color w:val="000000"/>
                  <w:sz w:val="20"/>
                  <w:u w:val="none"/>
                  <w:effect w:val="none"/>
                </w:rPr>
                <w:t>29</w:t>
              </w:r>
            </w:hyperlink>
          </w:p>
        </w:tc>
      </w:tr>
      <w:tr>
        <w:trPr/>
        <w:tc>
          <w:tcPr>
            <w:tcW w:w="10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981ecfacc9d40f482b966fd08c180b5_139">
              <w:r>
                <w:rPr>
                  <w:rStyle w:val="InternetLink"/>
                  <w:rFonts w:ascii="Times New Roman;serif" w:hAnsi="Times New Roman;serif"/>
                  <w:b w:val="false"/>
                  <w:strike w:val="false"/>
                  <w:dstrike w:val="false"/>
                  <w:color w:val="000000"/>
                  <w:sz w:val="20"/>
                  <w:u w:val="none"/>
                  <w:effect w:val="none"/>
                </w:rPr>
                <w:t>Item 4.</w:t>
              </w:r>
            </w:hyperlink>
          </w:p>
        </w:tc>
        <w:tc>
          <w:tcPr>
            <w:tcW w:w="86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981ecfacc9d40f482b966fd08c180b5_139">
              <w:r>
                <w:rPr>
                  <w:rStyle w:val="InternetLink"/>
                  <w:rFonts w:ascii="Times New Roman;serif" w:hAnsi="Times New Roman;serif"/>
                  <w:b w:val="false"/>
                  <w:color w:val="0000FF"/>
                  <w:sz w:val="20"/>
                  <w:u w:val="single"/>
                </w:rPr>
                <w:t>Controls and Procedures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981ecfacc9d40f482b966fd08c180b5_139">
              <w:r>
                <w:rPr>
                  <w:rStyle w:val="InternetLink"/>
                  <w:rFonts w:ascii="Times New Roman;serif" w:hAnsi="Times New Roman;serif"/>
                  <w:b w:val="false"/>
                  <w:strike w:val="false"/>
                  <w:dstrike w:val="false"/>
                  <w:color w:val="000000"/>
                  <w:sz w:val="20"/>
                  <w:u w:val="none"/>
                  <w:effect w:val="none"/>
                </w:rPr>
                <w:t>30</w:t>
              </w:r>
            </w:hyperlink>
          </w:p>
        </w:tc>
      </w:tr>
      <w:tr>
        <w:trPr/>
        <w:tc>
          <w:tcPr>
            <w:tcW w:w="10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981ecfacc9d40f482b966fd08c180b5_142">
              <w:r>
                <w:rPr>
                  <w:rStyle w:val="InternetLink"/>
                  <w:rFonts w:ascii="Times New Roman;serif" w:hAnsi="Times New Roman;serif"/>
                  <w:b/>
                  <w:strike w:val="false"/>
                  <w:dstrike w:val="false"/>
                  <w:color w:val="000000"/>
                  <w:sz w:val="20"/>
                  <w:u w:val="none"/>
                  <w:effect w:val="none"/>
                </w:rPr>
                <w:t>PART II.</w:t>
              </w:r>
            </w:hyperlink>
          </w:p>
        </w:tc>
        <w:tc>
          <w:tcPr>
            <w:tcW w:w="86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981ecfacc9d40f482b966fd08c180b5_142">
              <w:r>
                <w:rPr>
                  <w:rStyle w:val="InternetLink"/>
                  <w:rFonts w:ascii="Times New Roman;serif" w:hAnsi="Times New Roman;serif"/>
                  <w:b/>
                  <w:color w:val="0000FF"/>
                  <w:sz w:val="20"/>
                  <w:u w:val="single"/>
                </w:rPr>
                <w:t>OTHER INFORMATION</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981ecfacc9d40f482b966fd08c180b5_142">
              <w:r>
                <w:rPr>
                  <w:rStyle w:val="InternetLink"/>
                  <w:rFonts w:ascii="Times New Roman;serif" w:hAnsi="Times New Roman;serif"/>
                  <w:b w:val="false"/>
                  <w:strike w:val="false"/>
                  <w:dstrike w:val="false"/>
                  <w:color w:val="000000"/>
                  <w:sz w:val="20"/>
                  <w:u w:val="none"/>
                  <w:effect w:val="none"/>
                </w:rPr>
                <w:t>31</w:t>
              </w:r>
            </w:hyperlink>
          </w:p>
        </w:tc>
      </w:tr>
      <w:tr>
        <w:trPr/>
        <w:tc>
          <w:tcPr>
            <w:tcW w:w="10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981ecfacc9d40f482b966fd08c180b5_145">
              <w:r>
                <w:rPr>
                  <w:rStyle w:val="InternetLink"/>
                  <w:rFonts w:ascii="Times New Roman;serif" w:hAnsi="Times New Roman;serif"/>
                  <w:b w:val="false"/>
                  <w:strike w:val="false"/>
                  <w:dstrike w:val="false"/>
                  <w:color w:val="000000"/>
                  <w:sz w:val="20"/>
                  <w:u w:val="none"/>
                  <w:effect w:val="none"/>
                </w:rPr>
                <w:t>Item 1.</w:t>
              </w:r>
            </w:hyperlink>
          </w:p>
        </w:tc>
        <w:tc>
          <w:tcPr>
            <w:tcW w:w="86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981ecfacc9d40f482b966fd08c180b5_145">
              <w:r>
                <w:rPr>
                  <w:rStyle w:val="InternetLink"/>
                  <w:rFonts w:ascii="Times New Roman;serif" w:hAnsi="Times New Roman;serif"/>
                  <w:b w:val="false"/>
                  <w:color w:val="0000FF"/>
                  <w:sz w:val="20"/>
                  <w:u w:val="single"/>
                </w:rPr>
                <w:t>Legal Proceedings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981ecfacc9d40f482b966fd08c180b5_145">
              <w:r>
                <w:rPr>
                  <w:rStyle w:val="InternetLink"/>
                  <w:rFonts w:ascii="Times New Roman;serif" w:hAnsi="Times New Roman;serif"/>
                  <w:b w:val="false"/>
                  <w:strike w:val="false"/>
                  <w:dstrike w:val="false"/>
                  <w:color w:val="000000"/>
                  <w:sz w:val="20"/>
                  <w:u w:val="none"/>
                  <w:effect w:val="none"/>
                </w:rPr>
                <w:t>31</w:t>
              </w:r>
            </w:hyperlink>
          </w:p>
        </w:tc>
      </w:tr>
      <w:tr>
        <w:trPr/>
        <w:tc>
          <w:tcPr>
            <w:tcW w:w="10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981ecfacc9d40f482b966fd08c180b5_148">
              <w:r>
                <w:rPr>
                  <w:rStyle w:val="InternetLink"/>
                  <w:rFonts w:ascii="Times New Roman;serif" w:hAnsi="Times New Roman;serif"/>
                  <w:b w:val="false"/>
                  <w:strike w:val="false"/>
                  <w:dstrike w:val="false"/>
                  <w:color w:val="000000"/>
                  <w:sz w:val="20"/>
                  <w:u w:val="none"/>
                  <w:effect w:val="none"/>
                </w:rPr>
                <w:t>Item 1A.</w:t>
              </w:r>
            </w:hyperlink>
          </w:p>
        </w:tc>
        <w:tc>
          <w:tcPr>
            <w:tcW w:w="86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981ecfacc9d40f482b966fd08c180b5_148">
              <w:r>
                <w:rPr>
                  <w:rStyle w:val="InternetLink"/>
                  <w:rFonts w:ascii="Times New Roman;serif" w:hAnsi="Times New Roman;serif"/>
                  <w:b w:val="false"/>
                  <w:color w:val="0000FF"/>
                  <w:sz w:val="20"/>
                  <w:u w:val="single"/>
                </w:rPr>
                <w:t>Risk Factors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981ecfacc9d40f482b966fd08c180b5_148">
              <w:r>
                <w:rPr>
                  <w:rStyle w:val="InternetLink"/>
                  <w:rFonts w:ascii="Times New Roman;serif" w:hAnsi="Times New Roman;serif"/>
                  <w:b w:val="false"/>
                  <w:strike w:val="false"/>
                  <w:dstrike w:val="false"/>
                  <w:color w:val="000000"/>
                  <w:sz w:val="20"/>
                  <w:u w:val="none"/>
                  <w:effect w:val="none"/>
                </w:rPr>
                <w:t>31</w:t>
              </w:r>
            </w:hyperlink>
          </w:p>
        </w:tc>
      </w:tr>
      <w:tr>
        <w:trPr/>
        <w:tc>
          <w:tcPr>
            <w:tcW w:w="10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981ecfacc9d40f482b966fd08c180b5_151">
              <w:r>
                <w:rPr>
                  <w:rStyle w:val="InternetLink"/>
                  <w:rFonts w:ascii="Times New Roman;serif" w:hAnsi="Times New Roman;serif"/>
                  <w:b w:val="false"/>
                  <w:strike w:val="false"/>
                  <w:dstrike w:val="false"/>
                  <w:color w:val="000000"/>
                  <w:sz w:val="20"/>
                  <w:u w:val="none"/>
                  <w:effect w:val="none"/>
                </w:rPr>
                <w:t>Item 2.</w:t>
              </w:r>
            </w:hyperlink>
          </w:p>
        </w:tc>
        <w:tc>
          <w:tcPr>
            <w:tcW w:w="86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981ecfacc9d40f482b966fd08c180b5_151">
              <w:r>
                <w:rPr>
                  <w:rStyle w:val="InternetLink"/>
                  <w:rFonts w:ascii="Times New Roman;serif" w:hAnsi="Times New Roman;serif"/>
                  <w:b w:val="false"/>
                  <w:color w:val="0000FF"/>
                  <w:sz w:val="20"/>
                  <w:u w:val="single"/>
                </w:rPr>
                <w:t>Unregistered Sales of Equity Securities and Use of Proceeds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981ecfacc9d40f482b966fd08c180b5_151">
              <w:r>
                <w:rPr>
                  <w:rStyle w:val="InternetLink"/>
                  <w:rFonts w:ascii="Times New Roman;serif" w:hAnsi="Times New Roman;serif"/>
                  <w:b w:val="false"/>
                  <w:strike w:val="false"/>
                  <w:dstrike w:val="false"/>
                  <w:color w:val="000000"/>
                  <w:sz w:val="20"/>
                  <w:u w:val="none"/>
                  <w:effect w:val="none"/>
                </w:rPr>
                <w:t>31</w:t>
              </w:r>
            </w:hyperlink>
          </w:p>
        </w:tc>
      </w:tr>
      <w:tr>
        <w:trPr/>
        <w:tc>
          <w:tcPr>
            <w:tcW w:w="10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981ecfacc9d40f482b966fd08c180b5_154">
              <w:r>
                <w:rPr>
                  <w:rStyle w:val="InternetLink"/>
                  <w:rFonts w:ascii="Times New Roman;serif" w:hAnsi="Times New Roman;serif"/>
                  <w:b w:val="false"/>
                  <w:strike w:val="false"/>
                  <w:dstrike w:val="false"/>
                  <w:color w:val="000000"/>
                  <w:sz w:val="20"/>
                  <w:u w:val="none"/>
                  <w:effect w:val="none"/>
                </w:rPr>
                <w:t>Item 3.</w:t>
              </w:r>
            </w:hyperlink>
          </w:p>
        </w:tc>
        <w:tc>
          <w:tcPr>
            <w:tcW w:w="86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981ecfacc9d40f482b966fd08c180b5_154">
              <w:r>
                <w:rPr>
                  <w:rStyle w:val="InternetLink"/>
                  <w:rFonts w:ascii="Times New Roman;serif" w:hAnsi="Times New Roman;serif"/>
                  <w:b w:val="false"/>
                  <w:color w:val="0000FF"/>
                  <w:sz w:val="20"/>
                  <w:u w:val="single"/>
                </w:rPr>
                <w:t>Defaults upon Senior Securities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981ecfacc9d40f482b966fd08c180b5_154">
              <w:r>
                <w:rPr>
                  <w:rStyle w:val="InternetLink"/>
                  <w:rFonts w:ascii="Times New Roman;serif" w:hAnsi="Times New Roman;serif"/>
                  <w:b w:val="false"/>
                  <w:strike w:val="false"/>
                  <w:dstrike w:val="false"/>
                  <w:color w:val="000000"/>
                  <w:sz w:val="20"/>
                  <w:u w:val="none"/>
                  <w:effect w:val="none"/>
                </w:rPr>
                <w:t>31</w:t>
              </w:r>
            </w:hyperlink>
          </w:p>
        </w:tc>
      </w:tr>
      <w:tr>
        <w:trPr/>
        <w:tc>
          <w:tcPr>
            <w:tcW w:w="10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981ecfacc9d40f482b966fd08c180b5_157">
              <w:r>
                <w:rPr>
                  <w:rStyle w:val="InternetLink"/>
                  <w:rFonts w:ascii="Times New Roman;serif" w:hAnsi="Times New Roman;serif"/>
                  <w:b w:val="false"/>
                  <w:strike w:val="false"/>
                  <w:dstrike w:val="false"/>
                  <w:color w:val="000000"/>
                  <w:sz w:val="20"/>
                  <w:u w:val="none"/>
                  <w:effect w:val="none"/>
                </w:rPr>
                <w:t>Item 4.</w:t>
              </w:r>
            </w:hyperlink>
          </w:p>
        </w:tc>
        <w:tc>
          <w:tcPr>
            <w:tcW w:w="86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981ecfacc9d40f482b966fd08c180b5_157">
              <w:r>
                <w:rPr>
                  <w:rStyle w:val="InternetLink"/>
                  <w:rFonts w:ascii="Times New Roman;serif" w:hAnsi="Times New Roman;serif"/>
                  <w:b w:val="false"/>
                  <w:color w:val="0000FF"/>
                  <w:sz w:val="20"/>
                  <w:u w:val="single"/>
                </w:rPr>
                <w:t>Mine Safety Disclosures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981ecfacc9d40f482b966fd08c180b5_157">
              <w:r>
                <w:rPr>
                  <w:rStyle w:val="InternetLink"/>
                  <w:rFonts w:ascii="Times New Roman;serif" w:hAnsi="Times New Roman;serif"/>
                  <w:b w:val="false"/>
                  <w:strike w:val="false"/>
                  <w:dstrike w:val="false"/>
                  <w:color w:val="000000"/>
                  <w:sz w:val="20"/>
                  <w:u w:val="none"/>
                  <w:effect w:val="none"/>
                </w:rPr>
                <w:t>31</w:t>
              </w:r>
            </w:hyperlink>
          </w:p>
        </w:tc>
      </w:tr>
      <w:tr>
        <w:trPr/>
        <w:tc>
          <w:tcPr>
            <w:tcW w:w="10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981ecfacc9d40f482b966fd08c180b5_160">
              <w:r>
                <w:rPr>
                  <w:rStyle w:val="InternetLink"/>
                  <w:rFonts w:ascii="Times New Roman;serif" w:hAnsi="Times New Roman;serif"/>
                  <w:b w:val="false"/>
                  <w:strike w:val="false"/>
                  <w:dstrike w:val="false"/>
                  <w:color w:val="000000"/>
                  <w:sz w:val="20"/>
                  <w:u w:val="none"/>
                  <w:effect w:val="none"/>
                </w:rPr>
                <w:t>Item 5.</w:t>
              </w:r>
            </w:hyperlink>
          </w:p>
        </w:tc>
        <w:tc>
          <w:tcPr>
            <w:tcW w:w="86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981ecfacc9d40f482b966fd08c180b5_160">
              <w:r>
                <w:rPr>
                  <w:rStyle w:val="InternetLink"/>
                  <w:rFonts w:ascii="Times New Roman;serif" w:hAnsi="Times New Roman;serif"/>
                  <w:b w:val="false"/>
                  <w:color w:val="0000FF"/>
                  <w:sz w:val="20"/>
                  <w:u w:val="single"/>
                </w:rPr>
                <w:t>Other Information</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981ecfacc9d40f482b966fd08c180b5_160">
              <w:r>
                <w:rPr>
                  <w:rStyle w:val="InternetLink"/>
                  <w:rFonts w:ascii="Times New Roman;serif" w:hAnsi="Times New Roman;serif"/>
                  <w:b w:val="false"/>
                  <w:strike w:val="false"/>
                  <w:dstrike w:val="false"/>
                  <w:color w:val="000000"/>
                  <w:sz w:val="20"/>
                  <w:u w:val="none"/>
                  <w:effect w:val="none"/>
                </w:rPr>
                <w:t>31</w:t>
              </w:r>
            </w:hyperlink>
          </w:p>
        </w:tc>
      </w:tr>
      <w:tr>
        <w:trPr/>
        <w:tc>
          <w:tcPr>
            <w:tcW w:w="10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981ecfacc9d40f482b966fd08c180b5_166">
              <w:r>
                <w:rPr>
                  <w:rStyle w:val="InternetLink"/>
                  <w:rFonts w:ascii="Times New Roman;serif" w:hAnsi="Times New Roman;serif"/>
                  <w:b w:val="false"/>
                  <w:strike w:val="false"/>
                  <w:dstrike w:val="false"/>
                  <w:color w:val="000000"/>
                  <w:sz w:val="20"/>
                  <w:u w:val="none"/>
                  <w:effect w:val="none"/>
                </w:rPr>
                <w:t>Item 6.</w:t>
              </w:r>
            </w:hyperlink>
          </w:p>
        </w:tc>
        <w:tc>
          <w:tcPr>
            <w:tcW w:w="86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981ecfacc9d40f482b966fd08c180b5_166">
              <w:r>
                <w:rPr>
                  <w:rStyle w:val="InternetLink"/>
                  <w:rFonts w:ascii="Times New Roman;serif" w:hAnsi="Times New Roman;serif"/>
                  <w:b w:val="false"/>
                  <w:color w:val="0000FF"/>
                  <w:sz w:val="20"/>
                  <w:u w:val="single"/>
                </w:rPr>
                <w:t>Exhibits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981ecfacc9d40f482b966fd08c180b5_166">
              <w:r>
                <w:rPr>
                  <w:rStyle w:val="InternetLink"/>
                  <w:rFonts w:ascii="Times New Roman;serif" w:hAnsi="Times New Roman;serif"/>
                  <w:b w:val="false"/>
                  <w:strike w:val="false"/>
                  <w:dstrike w:val="false"/>
                  <w:color w:val="000000"/>
                  <w:sz w:val="20"/>
                  <w:u w:val="none"/>
                  <w:effect w:val="none"/>
                </w:rPr>
                <w:t>32</w:t>
              </w:r>
            </w:hyperlink>
          </w:p>
        </w:tc>
      </w:tr>
      <w:tr>
        <w:trPr/>
        <w:tc>
          <w:tcPr>
            <w:tcW w:w="10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981ecfacc9d40f482b966fd08c180b5_169">
              <w:r>
                <w:rPr>
                  <w:rStyle w:val="InternetLink"/>
                  <w:rFonts w:ascii="Times New Roman;serif" w:hAnsi="Times New Roman;serif"/>
                  <w:b w:val="false"/>
                  <w:color w:val="0000FF"/>
                  <w:sz w:val="20"/>
                  <w:u w:val="single"/>
                </w:rPr>
                <w:t xml:space="preserve">Signatures </w:t>
              </w:r>
            </w:hyperlink>
          </w:p>
        </w:tc>
        <w:tc>
          <w:tcPr>
            <w:tcW w:w="8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981ecfacc9d40f482b966fd08c180b5_169">
              <w:r>
                <w:rPr>
                  <w:rStyle w:val="InternetLink"/>
                  <w:rFonts w:ascii="Times New Roman;serif" w:hAnsi="Times New Roman;serif"/>
                  <w:b w:val="false"/>
                  <w:strike w:val="false"/>
                  <w:dstrike w:val="false"/>
                  <w:color w:val="000000"/>
                  <w:sz w:val="20"/>
                  <w:u w:val="none"/>
                  <w:effect w:val="none"/>
                </w:rPr>
                <w:t>33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firstLine="5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540"/>
                        <w:jc w:val="center"/>
                        <w:rPr/>
                      </w:pPr>
                      <w:r>
                        <w:rPr/>
                      </w:r>
                    </w:p>
                  </w:txbxContent>
                </v:textbox>
                <w10:wrap type="none"/>
              </v:rect>
            </w:pict>
          </mc:Fallback>
        </mc:AlternateContent>
      </w:r>
    </w:p>
    <w:p>
      <w:pPr>
        <w:pStyle w:val="TextBody"/>
        <w:bidi w:val="0"/>
        <w:spacing w:before="0" w:after="0"/>
        <w:ind w:left="0" w:right="0" w:firstLine="540"/>
        <w:jc w:val="left"/>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SPECIAL NOTES REGARDING THE COMPANY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This report contains certain forward-looking statements, including statements relating to our strategy and plans; potential of and expectations for our business, commercial products, and pipeline programs; the market for our commercial and pipeline products; capital allocation and investment strategy; clinical development programs and related clinical trials; clinical trial data, data readouts, and presentations; risks and uncertainties associated with drug development and commercialization; regulatory discussions, submissions, filings, and approvals and the timing thereof; the potential benefits, safety, and efficacy of our products and product candidates and those of our collaboration partners; the anticipated benefits and potential of investments, collaborations, and business development activities; our profitability; and our future financial and operating results. All statements, other than statements of historical fact, included in this report are forward-looking statements, and can be identified by words such as “aim,” “anticipate,” “believe,” “contemplate,” “continue,” “could,” “estimate,” “expect,” “forecast,” “goal,” “intend,” “may,” “plan,” “possible,” “potential,” “predict,” “project,” “seek,” “should,” “target,” “will,” “would,” or the negative of these terms or similar expressions. Such statements constitute forward-looking statements within the meaning of the Private Securities Litigation Reform Act of 1995. Forward-looking statements are not guarantees or assurances of future performance. Forward-looking statements are based on our expectations and assumptions as of the date of this report and are subject to inherent uncertainties, risks, and changes in circumstances that may differ materially from those contemplated by the forward-looking statements. We may not actually achieve the plans, carry out the intentions, or meet the expectations or projections disclosed in our forward-looking statements, and you should not place undue reliance on these forward-looking statements. Actual results may differ materially from those indicated by such forward-looking statements as a result of various important factors, including but not limited to the following:</w:t>
      </w:r>
    </w:p>
    <w:p>
      <w:pPr>
        <w:pStyle w:val="TextBody"/>
        <w:bidi w:val="0"/>
        <w:spacing w:lineRule="auto" w:line="324" w:before="180" w:after="283"/>
        <w:ind w:left="0" w:right="0" w:hanging="360"/>
        <w:jc w:val="left"/>
        <w:rPr>
          <w:color w:val="000000"/>
        </w:rPr>
      </w:pPr>
      <w:r>
        <w:rPr>
          <w:color w:val="000000"/>
        </w:rPr>
        <w:t>•    </w:t>
      </w:r>
      <w:r>
        <w:rPr>
          <w:rFonts w:ascii="Times New Roman;serif" w:hAnsi="Times New Roman;serif"/>
          <w:b w:val="false"/>
          <w:color w:val="000000"/>
          <w:sz w:val="20"/>
        </w:rPr>
        <w:t>Our ability to successfully commercialize and generate revenue from our approved products;</w:t>
      </w:r>
    </w:p>
    <w:p>
      <w:pPr>
        <w:pStyle w:val="TextBody"/>
        <w:bidi w:val="0"/>
        <w:spacing w:lineRule="auto" w:line="324" w:before="0" w:after="0"/>
        <w:ind w:left="0" w:right="0" w:hanging="360"/>
        <w:jc w:val="left"/>
        <w:rPr>
          <w:color w:val="000000"/>
        </w:rPr>
      </w:pPr>
      <w:r>
        <w:rPr>
          <w:color w:val="000000"/>
        </w:rPr>
        <w:t>•    </w:t>
      </w:r>
      <w:r>
        <w:rPr>
          <w:rFonts w:ascii="Times New Roman;serif" w:hAnsi="Times New Roman;serif"/>
          <w:b w:val="false"/>
          <w:color w:val="000000"/>
          <w:sz w:val="20"/>
        </w:rPr>
        <w:t>Our ability to obtain funding for our operations and business initiatives;</w:t>
      </w:r>
    </w:p>
    <w:p>
      <w:pPr>
        <w:pStyle w:val="TextBody"/>
        <w:bidi w:val="0"/>
        <w:spacing w:lineRule="auto" w:line="324" w:before="0" w:after="0"/>
        <w:ind w:left="0" w:right="0" w:hanging="360"/>
        <w:jc w:val="left"/>
        <w:rPr>
          <w:color w:val="000000"/>
        </w:rPr>
      </w:pPr>
      <w:r>
        <w:rPr>
          <w:color w:val="000000"/>
        </w:rPr>
        <w:t>•    </w:t>
      </w:r>
      <w:r>
        <w:rPr>
          <w:rFonts w:ascii="Times New Roman;serif" w:hAnsi="Times New Roman;serif"/>
          <w:b w:val="false"/>
          <w:color w:val="000000"/>
          <w:sz w:val="20"/>
        </w:rPr>
        <w:t>The results of our clinical and pre-clinical development of our product candidates;</w:t>
      </w:r>
    </w:p>
    <w:p>
      <w:pPr>
        <w:pStyle w:val="TextBody"/>
        <w:bidi w:val="0"/>
        <w:spacing w:lineRule="auto" w:line="324" w:before="0" w:after="0"/>
        <w:ind w:left="0" w:right="0" w:hanging="360"/>
        <w:jc w:val="left"/>
        <w:rPr>
          <w:color w:val="000000"/>
        </w:rPr>
      </w:pPr>
      <w:r>
        <w:rPr>
          <w:color w:val="000000"/>
        </w:rPr>
        <w:t>•    </w:t>
      </w:r>
      <w:r>
        <w:rPr>
          <w:rFonts w:ascii="Times New Roman;serif" w:hAnsi="Times New Roman;serif"/>
          <w:b w:val="false"/>
          <w:color w:val="000000"/>
          <w:sz w:val="20"/>
        </w:rPr>
        <w:t>The content and timing of decisions made by the relevant regulatory authorities regarding regulatory approvals of our product candidates;</w:t>
      </w:r>
    </w:p>
    <w:p>
      <w:pPr>
        <w:pStyle w:val="TextBody"/>
        <w:bidi w:val="0"/>
        <w:spacing w:lineRule="auto" w:line="324" w:before="0" w:after="0"/>
        <w:ind w:left="0" w:right="0" w:hanging="360"/>
        <w:jc w:val="left"/>
        <w:rPr>
          <w:color w:val="000000"/>
        </w:rPr>
      </w:pPr>
      <w:r>
        <w:rPr>
          <w:color w:val="000000"/>
        </w:rPr>
        <w:t>•    </w:t>
      </w:r>
      <w:r>
        <w:rPr>
          <w:rFonts w:ascii="Times New Roman;serif" w:hAnsi="Times New Roman;serif"/>
          <w:b w:val="false"/>
          <w:color w:val="000000"/>
          <w:sz w:val="20"/>
        </w:rPr>
        <w:t>Any inability of third parties on whom we rely, such as our licensors, CMOs, and others that supply certain of our products and product candidates; CROs that conduct or support some of our pre-clinical and clinical trials; and distributors that sell our commercial products, to successfully carry out their contractual duties or meet expected deadlines;</w:t>
      </w:r>
    </w:p>
    <w:p>
      <w:pPr>
        <w:pStyle w:val="TextBody"/>
        <w:bidi w:val="0"/>
        <w:spacing w:lineRule="auto" w:line="324" w:before="0" w:after="0"/>
        <w:ind w:left="0" w:right="0" w:hanging="360"/>
        <w:jc w:val="left"/>
        <w:rPr>
          <w:color w:val="000000"/>
        </w:rPr>
      </w:pPr>
      <w:r>
        <w:rPr>
          <w:color w:val="000000"/>
        </w:rPr>
        <w:t>•    </w:t>
      </w:r>
      <w:r>
        <w:rPr>
          <w:rFonts w:ascii="Times New Roman;serif" w:hAnsi="Times New Roman;serif"/>
          <w:b w:val="false"/>
          <w:color w:val="000000"/>
          <w:sz w:val="20"/>
        </w:rPr>
        <w:t>Any issues that our Chinese manufacturing facilities may have with operating in conformity with established GMPs and international best practices, and with passing FDA, NMPA, and EMA inspections;</w:t>
      </w:r>
    </w:p>
    <w:p>
      <w:pPr>
        <w:pStyle w:val="TextBody"/>
        <w:bidi w:val="0"/>
        <w:spacing w:lineRule="auto" w:line="324" w:before="0" w:after="0"/>
        <w:ind w:left="0" w:right="0" w:hanging="360"/>
        <w:jc w:val="left"/>
        <w:rPr>
          <w:color w:val="000000"/>
        </w:rPr>
      </w:pPr>
      <w:r>
        <w:rPr>
          <w:color w:val="000000"/>
        </w:rPr>
        <w:t>•    </w:t>
      </w:r>
      <w:r>
        <w:rPr>
          <w:rFonts w:ascii="Times New Roman;serif" w:hAnsi="Times New Roman;serif"/>
          <w:b w:val="false"/>
          <w:color w:val="000000"/>
          <w:sz w:val="20"/>
        </w:rPr>
        <w:t>Any inability to obtain or maintain sufficient patent protection for our products and product candidates;</w:t>
      </w:r>
    </w:p>
    <w:p>
      <w:pPr>
        <w:pStyle w:val="TextBody"/>
        <w:bidi w:val="0"/>
        <w:spacing w:lineRule="auto" w:line="324" w:before="0" w:after="0"/>
        <w:ind w:left="0" w:right="0" w:hanging="360"/>
        <w:jc w:val="left"/>
        <w:rPr>
          <w:color w:val="000000"/>
        </w:rPr>
      </w:pPr>
      <w:r>
        <w:rPr>
          <w:color w:val="000000"/>
        </w:rPr>
        <w:t>•    </w:t>
      </w:r>
      <w:r>
        <w:rPr>
          <w:rFonts w:ascii="Times New Roman;serif" w:hAnsi="Times New Roman;serif"/>
          <w:b w:val="false"/>
          <w:color w:val="000000"/>
          <w:sz w:val="20"/>
        </w:rPr>
        <w:t>Changes in U.S. and China trade policies and relations, as well as relations with other countries, and/or changes in laws, regulations, and/or sanctions;</w:t>
      </w:r>
    </w:p>
    <w:p>
      <w:pPr>
        <w:pStyle w:val="TextBody"/>
        <w:bidi w:val="0"/>
        <w:spacing w:lineRule="auto" w:line="324" w:before="0" w:after="0"/>
        <w:ind w:left="0" w:right="0" w:hanging="360"/>
        <w:jc w:val="left"/>
        <w:rPr>
          <w:color w:val="000000"/>
        </w:rPr>
      </w:pPr>
      <w:r>
        <w:rPr>
          <w:color w:val="000000"/>
        </w:rPr>
        <w:t>•    </w:t>
      </w:r>
      <w:r>
        <w:rPr>
          <w:rFonts w:ascii="Times New Roman;serif" w:hAnsi="Times New Roman;serif"/>
          <w:b w:val="false"/>
          <w:color w:val="000000"/>
          <w:sz w:val="20"/>
        </w:rPr>
        <w:t>Actions the Chinese government may take to intervene in or influence our operations;</w:t>
      </w:r>
    </w:p>
    <w:p>
      <w:pPr>
        <w:pStyle w:val="TextBody"/>
        <w:bidi w:val="0"/>
        <w:spacing w:lineRule="auto" w:line="324" w:before="0" w:after="0"/>
        <w:ind w:left="0" w:right="0" w:hanging="360"/>
        <w:jc w:val="left"/>
        <w:rPr>
          <w:color w:val="000000"/>
        </w:rPr>
      </w:pPr>
      <w:r>
        <w:rPr>
          <w:color w:val="000000"/>
        </w:rPr>
        <w:t>•    </w:t>
      </w:r>
      <w:r>
        <w:rPr>
          <w:rFonts w:ascii="Times New Roman;serif" w:hAnsi="Times New Roman;serif"/>
          <w:b w:val="false"/>
          <w:color w:val="000000"/>
          <w:sz w:val="20"/>
        </w:rPr>
        <w:t>Economic, political, and social conditions in mainland China as well as governmental policies;</w:t>
      </w:r>
    </w:p>
    <w:p>
      <w:pPr>
        <w:pStyle w:val="TextBody"/>
        <w:bidi w:val="0"/>
        <w:spacing w:lineRule="auto" w:line="324" w:before="0" w:after="0"/>
        <w:ind w:left="0" w:right="0" w:hanging="360"/>
        <w:jc w:val="left"/>
        <w:rPr>
          <w:color w:val="000000"/>
        </w:rPr>
      </w:pPr>
      <w:r>
        <w:rPr>
          <w:color w:val="000000"/>
        </w:rPr>
        <w:t>•    </w:t>
      </w:r>
      <w:r>
        <w:rPr>
          <w:rFonts w:ascii="Times New Roman;serif" w:hAnsi="Times New Roman;serif"/>
          <w:b w:val="false"/>
          <w:color w:val="000000"/>
          <w:sz w:val="20"/>
        </w:rPr>
        <w:t>Significant business disruptions caused by events or developments outside of our control, such as pandemics, international war or conflict, natural disasters or extreme weather events, and other geopolitical events;</w:t>
      </w:r>
    </w:p>
    <w:p>
      <w:pPr>
        <w:pStyle w:val="TextBody"/>
        <w:bidi w:val="0"/>
        <w:spacing w:lineRule="auto" w:line="324" w:before="0" w:after="0"/>
        <w:ind w:left="0" w:right="0" w:hanging="360"/>
        <w:jc w:val="left"/>
        <w:rPr>
          <w:color w:val="000000"/>
        </w:rPr>
      </w:pPr>
      <w:r>
        <w:rPr>
          <w:color w:val="000000"/>
        </w:rPr>
        <w:t>•    </w:t>
      </w:r>
      <w:r>
        <w:rPr>
          <w:rFonts w:ascii="Times New Roman;serif" w:hAnsi="Times New Roman;serif"/>
          <w:b w:val="false"/>
          <w:color w:val="000000"/>
          <w:sz w:val="20"/>
        </w:rPr>
        <w:t>Uncertainties in the Chinese legal system, including with respect to the anti-corruption enforcement efforts in mainland China and those addressing espionage, protection of and transfer restrictions on data, including personal information, data processing and security, and cybersecurity, and other future laws and regulations or amendments to such laws and regulations;</w:t>
      </w:r>
    </w:p>
    <w:p>
      <w:pPr>
        <w:pStyle w:val="TextBody"/>
        <w:bidi w:val="0"/>
        <w:spacing w:lineRule="auto" w:line="324" w:before="0" w:after="0"/>
        <w:ind w:left="0" w:right="0" w:hanging="360"/>
        <w:jc w:val="left"/>
        <w:rPr>
          <w:color w:val="000000"/>
        </w:rPr>
      </w:pPr>
      <w:r>
        <w:rPr>
          <w:color w:val="000000"/>
        </w:rPr>
        <w:t>•    </w:t>
      </w:r>
      <w:r>
        <w:rPr>
          <w:rFonts w:ascii="Times New Roman;serif" w:hAnsi="Times New Roman;serif"/>
          <w:b w:val="false"/>
          <w:color w:val="000000"/>
          <w:sz w:val="20"/>
        </w:rPr>
        <w:t>Approval, filing, or procedural requirements imposed by the China Securities Regulatory Commission or other Chinese regulatory authorities in connection with issuing securities to foreign investors under Chinese law;</w:t>
      </w:r>
    </w:p>
    <w:p>
      <w:pPr>
        <w:pStyle w:val="TextBody"/>
        <w:bidi w:val="0"/>
        <w:spacing w:lineRule="auto" w:line="324" w:before="0" w:after="0"/>
        <w:ind w:left="0" w:right="0" w:hanging="360"/>
        <w:jc w:val="left"/>
        <w:rPr>
          <w:color w:val="000000"/>
        </w:rPr>
      </w:pPr>
      <w:r>
        <w:rPr>
          <w:color w:val="000000"/>
        </w:rPr>
        <w:t>•    </w:t>
      </w:r>
      <w:r>
        <w:rPr>
          <w:rFonts w:ascii="Times New Roman;serif" w:hAnsi="Times New Roman;serif"/>
          <w:b w:val="false"/>
          <w:color w:val="000000"/>
          <w:sz w:val="20"/>
        </w:rPr>
        <w:t>Any violation or liability under the U.S. Foreign Corrupt Practices Act or Chinese anti-corruption, anti-bribery, and anti-fraud laws;</w:t>
      </w:r>
    </w:p>
    <w:p>
      <w:pPr>
        <w:pStyle w:val="TextBody"/>
        <w:bidi w:val="0"/>
        <w:spacing w:lineRule="auto" w:line="324" w:before="0" w:after="0"/>
        <w:ind w:left="0" w:right="0" w:hanging="360"/>
        <w:jc w:val="left"/>
        <w:rPr>
          <w:color w:val="000000"/>
        </w:rPr>
      </w:pPr>
      <w:r>
        <w:rPr>
          <w:color w:val="000000"/>
        </w:rPr>
        <w:t>•    </w:t>
      </w:r>
      <w:r>
        <w:rPr>
          <w:rFonts w:ascii="Times New Roman;serif" w:hAnsi="Times New Roman;serif"/>
          <w:b w:val="false"/>
          <w:color w:val="000000"/>
          <w:sz w:val="20"/>
        </w:rPr>
        <w:t>Variations in currency exchange rates and restrictions on currency exchange;</w:t>
      </w:r>
    </w:p>
    <w:p>
      <w:pPr>
        <w:pStyle w:val="TextBody"/>
        <w:bidi w:val="0"/>
        <w:spacing w:lineRule="auto" w:line="324" w:before="0" w:after="0"/>
        <w:ind w:left="0" w:right="0" w:hanging="360"/>
        <w:jc w:val="left"/>
        <w:rPr>
          <w:color w:val="000000"/>
        </w:rPr>
      </w:pPr>
      <w:r>
        <w:rPr>
          <w:color w:val="000000"/>
        </w:rPr>
        <w:t>•    </w:t>
      </w:r>
      <w:r>
        <w:rPr>
          <w:rFonts w:ascii="Times New Roman;serif" w:hAnsi="Times New Roman;serif"/>
          <w:b w:val="false"/>
          <w:color w:val="000000"/>
          <w:sz w:val="20"/>
        </w:rPr>
        <w:t>Limitations on the ability of our Chinese subsidiaries to make payments to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firstLine="5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540"/>
                        <w:jc w:val="center"/>
                        <w:rPr/>
                      </w:pPr>
                      <w:r>
                        <w:rPr/>
                      </w:r>
                    </w:p>
                  </w:txbxContent>
                </v:textbox>
                <w10:wrap type="none"/>
              </v:rect>
            </w:pict>
          </mc:Fallback>
        </mc:AlternateContent>
      </w:r>
    </w:p>
    <w:p>
      <w:pPr>
        <w:pStyle w:val="TextBody"/>
        <w:bidi w:val="0"/>
        <w:spacing w:before="0" w:after="0"/>
        <w:ind w:left="0" w:right="0" w:firstLine="540"/>
        <w:jc w:val="left"/>
        <w:rPr/>
      </w:pPr>
      <w:r>
        <w:rPr/>
      </w:r>
    </w:p>
    <w:p>
      <w:pPr>
        <w:pStyle w:val="TextBody"/>
        <w:bidi w:val="0"/>
        <w:spacing w:lineRule="auto" w:line="324" w:before="0" w:after="0"/>
        <w:ind w:left="0" w:right="0" w:hanging="360"/>
        <w:jc w:val="left"/>
        <w:rPr>
          <w:color w:val="000000"/>
        </w:rPr>
      </w:pPr>
      <w:r>
        <w:rPr>
          <w:color w:val="000000"/>
        </w:rPr>
        <w:t>•    </w:t>
      </w:r>
      <w:r>
        <w:rPr>
          <w:rFonts w:ascii="Times New Roman;serif" w:hAnsi="Times New Roman;serif"/>
          <w:b w:val="false"/>
          <w:color w:val="000000"/>
          <w:sz w:val="20"/>
        </w:rPr>
        <w:t>Chinese requirements on the ability of residents in mainland China to establish offshore special purpose companies;</w:t>
      </w:r>
    </w:p>
    <w:p>
      <w:pPr>
        <w:pStyle w:val="TextBody"/>
        <w:bidi w:val="0"/>
        <w:spacing w:lineRule="auto" w:line="324" w:before="0" w:after="0"/>
        <w:ind w:left="0" w:right="0" w:hanging="360"/>
        <w:jc w:val="left"/>
        <w:rPr>
          <w:color w:val="000000"/>
        </w:rPr>
      </w:pPr>
      <w:r>
        <w:rPr>
          <w:color w:val="000000"/>
        </w:rPr>
        <w:t>•    </w:t>
      </w:r>
      <w:r>
        <w:rPr>
          <w:rFonts w:ascii="Times New Roman;serif" w:hAnsi="Times New Roman;serif"/>
          <w:b w:val="false"/>
          <w:color w:val="000000"/>
          <w:sz w:val="20"/>
        </w:rPr>
        <w:t>Chinese regulations regarding acquisitions of companies based in mainland China by foreign investors;</w:t>
      </w:r>
    </w:p>
    <w:p>
      <w:pPr>
        <w:pStyle w:val="TextBody"/>
        <w:bidi w:val="0"/>
        <w:spacing w:lineRule="auto" w:line="324" w:before="0" w:after="0"/>
        <w:ind w:left="0" w:right="0" w:hanging="360"/>
        <w:jc w:val="left"/>
        <w:rPr>
          <w:color w:val="000000"/>
        </w:rPr>
      </w:pPr>
      <w:r>
        <w:rPr>
          <w:color w:val="000000"/>
        </w:rPr>
        <w:t>•    </w:t>
      </w:r>
      <w:r>
        <w:rPr>
          <w:rFonts w:ascii="Times New Roman;serif" w:hAnsi="Times New Roman;serif"/>
          <w:b w:val="false"/>
          <w:color w:val="000000"/>
          <w:sz w:val="20"/>
        </w:rPr>
        <w:t>Expiration of, or changes to, financial incentives or discretionary policies granted by local governments in mainland China;</w:t>
      </w:r>
    </w:p>
    <w:p>
      <w:pPr>
        <w:pStyle w:val="TextBody"/>
        <w:bidi w:val="0"/>
        <w:spacing w:lineRule="auto" w:line="324" w:before="0" w:after="0"/>
        <w:ind w:left="0" w:right="0" w:hanging="360"/>
        <w:jc w:val="left"/>
        <w:rPr>
          <w:color w:val="000000"/>
        </w:rPr>
      </w:pPr>
      <w:r>
        <w:rPr>
          <w:color w:val="000000"/>
        </w:rPr>
        <w:t>•    </w:t>
      </w:r>
      <w:r>
        <w:rPr>
          <w:rFonts w:ascii="Times New Roman;serif" w:hAnsi="Times New Roman;serif"/>
          <w:b w:val="false"/>
          <w:color w:val="000000"/>
          <w:sz w:val="20"/>
        </w:rPr>
        <w:t>Restrictions or limitations on the ability of overseas regulators to conduct investigations or collect evidence within mainland China;</w:t>
      </w:r>
    </w:p>
    <w:p>
      <w:pPr>
        <w:pStyle w:val="TextBody"/>
        <w:bidi w:val="0"/>
        <w:spacing w:lineRule="auto" w:line="324" w:before="0" w:after="0"/>
        <w:ind w:left="0" w:right="0" w:hanging="360"/>
        <w:jc w:val="left"/>
        <w:rPr>
          <w:color w:val="000000"/>
        </w:rPr>
      </w:pPr>
      <w:r>
        <w:rPr>
          <w:color w:val="000000"/>
        </w:rPr>
        <w:t>•    </w:t>
      </w:r>
      <w:r>
        <w:rPr>
          <w:rFonts w:ascii="Times New Roman;serif" w:hAnsi="Times New Roman;serif"/>
          <w:b w:val="false"/>
          <w:color w:val="000000"/>
          <w:sz w:val="20"/>
        </w:rPr>
        <w:t>Unfavorable tax consequences to us and our non-Chinese shareholders or ADS holders if we were to be classified as a Chinese resident enterprise for Chinese income tax purposes;</w:t>
      </w:r>
    </w:p>
    <w:p>
      <w:pPr>
        <w:pStyle w:val="TextBody"/>
        <w:bidi w:val="0"/>
        <w:spacing w:lineRule="auto" w:line="324" w:before="0" w:after="0"/>
        <w:ind w:left="0" w:right="0" w:hanging="360"/>
        <w:jc w:val="left"/>
        <w:rPr>
          <w:color w:val="000000"/>
        </w:rPr>
      </w:pPr>
      <w:r>
        <w:rPr>
          <w:color w:val="000000"/>
        </w:rPr>
        <w:t>•    </w:t>
      </w:r>
      <w:r>
        <w:rPr>
          <w:rFonts w:ascii="Times New Roman;serif" w:hAnsi="Times New Roman;serif"/>
          <w:b w:val="false"/>
          <w:color w:val="000000"/>
          <w:sz w:val="20"/>
        </w:rPr>
        <w:t xml:space="preserve">Failure to comply with applicable Chinese, U.S., and Hong Kong regulations that could lead to government enforcement actions, fines, other legal or administrative sanctions, and/or harm to our business or reputation; </w:t>
      </w:r>
    </w:p>
    <w:p>
      <w:pPr>
        <w:pStyle w:val="TextBody"/>
        <w:bidi w:val="0"/>
        <w:spacing w:lineRule="auto" w:line="324" w:before="0" w:after="0"/>
        <w:ind w:left="0" w:right="0" w:hanging="360"/>
        <w:jc w:val="left"/>
        <w:rPr>
          <w:color w:val="000000"/>
        </w:rPr>
      </w:pPr>
      <w:r>
        <w:rPr>
          <w:color w:val="000000"/>
        </w:rPr>
        <w:t>•    </w:t>
      </w:r>
      <w:r>
        <w:rPr>
          <w:rFonts w:ascii="Times New Roman;serif" w:hAnsi="Times New Roman;serif"/>
          <w:b w:val="false"/>
          <w:color w:val="000000"/>
          <w:sz w:val="20"/>
        </w:rPr>
        <w:t>Delays or obstacles for closing transactions, such as review by the CFIUS in our investments; and</w:t>
      </w:r>
    </w:p>
    <w:p>
      <w:pPr>
        <w:pStyle w:val="TextBody"/>
        <w:bidi w:val="0"/>
        <w:spacing w:lineRule="auto" w:line="324" w:before="0" w:after="0"/>
        <w:ind w:left="0" w:right="0" w:hanging="360"/>
        <w:jc w:val="left"/>
        <w:rPr>
          <w:color w:val="000000"/>
        </w:rPr>
      </w:pPr>
      <w:r>
        <w:rPr>
          <w:color w:val="000000"/>
        </w:rPr>
        <w:t>•    </w:t>
      </w:r>
      <w:r>
        <w:rPr>
          <w:rFonts w:ascii="Times New Roman;serif" w:hAnsi="Times New Roman;serif"/>
          <w:b w:val="false"/>
          <w:color w:val="000000"/>
          <w:sz w:val="20"/>
        </w:rPr>
        <w:t>Any inability to renew our current leases on desirable terms or otherwise locate desirable alternatives for our leased properties.</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These factors should not be construed as exhaustive and should be read with the other cautionary statements and information in our Annual Report on Form 10-K for the year ended December 31, 2025 (the “2025 Annual Report”), our Quarterly Reports on Form 10-Q, and our other filings with the U.S. Securities and Exchange Commission. Forward-looking statements are based on our management’s beliefs and assumptions and information currently available to our management. These statements, like all statements in this report, speak only as of their date. We anticipate that subsequent events and developments will cause our expectations and assumptions to change, and we undertake no obligation to update or revise any forward-looking statements, whether as a result of new information, future events, or otherwise, except as may be required by law. These forward-looking statements should not be relied upon as representing our views as of any date subsequent to the date of this report.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Usage of Terms</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Throughout this report, we use certain acronyms and terms that are defined in the Glossary of our 2025 Annual Report. References to “Zai Lab,” the “Company,” “we,” “us,” and “our” refer to Zai Lab Limited, a holding company, and its subsidiaries, on a consolidated basis; and references to “Zai Lab Limited” refer to Zai Lab Limited, a holding company. Zai Lab Limited is the entity in which investors hold their interest. </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operating subsidiaries consist of Zai Lab (Hong Kong) Limited, domiciled in Hong Kong; Zai Auto Immune (Hong Kong) Limited, domiciled in Hong Kong; Zai Anti Infectives (Hong Kong) Limited, domiciled in Hong Kong; Zai Lab (Shanghai) Co., Ltd., domiciled in mainland China; Zai Lab International Trading (Shanghai) Co., Ltd., domiciled in mainland China; Zai Lab (Suzhou) Co., Ltd., domiciled in mainland China; Zai Biopharmaceutical (Suzhou) Co., Ltd., domiciled in mainland China; Zai Lab Trading (Suzhou) Co., Ltd., domiciled in mainland China; Zai Lab (Zhejiang) Co., Ltd., domiciled in mainland China; Zai Lab (Taiwan) Limited, domiciled in Taiwan; Zai Lab (AUST) Pty. Ltd., domiciled in Australia; and Zai Lab (US) LLC, domiciled in the United States. </w:t>
      </w:r>
    </w:p>
    <w:p>
      <w:pPr>
        <w:pStyle w:val="TextBody"/>
        <w:bidi w:val="0"/>
        <w:spacing w:lineRule="auto" w:line="333" w:before="180" w:after="283"/>
        <w:ind w:left="0" w:right="0" w:firstLine="540"/>
        <w:jc w:val="left"/>
        <w:rPr/>
      </w:pPr>
      <w:r>
        <w:rPr>
          <w:rFonts w:ascii="Times New Roman;serif" w:hAnsi="Times New Roman;serif"/>
          <w:b w:val="false"/>
          <w:color w:val="000000"/>
          <w:sz w:val="20"/>
        </w:rPr>
        <w:t xml:space="preserve">We own various trademarks, including various forms of the Zai Lab brand (in English and Chinese), as well as several domain names that incorporate such trademarks. Trademarks and trade names of other companies appearing in this report are the property of their respective holders. Solely for convenience, some of the trademarks and trade names in this report are referred to without the </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and ™ symbols, but such references should not be construed as any indicator that their respective owners will not assert, to the fullest extent under applicable law, their rights thereto. We do not intend our use or display of other companies’ trademarks and trade names to imply a relationship with, or endorsement or sponsorship of, any other company.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firstLine="5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540"/>
                        <w:jc w:val="center"/>
                        <w:rPr/>
                      </w:pPr>
                      <w:r>
                        <w:rPr/>
                      </w:r>
                    </w:p>
                  </w:txbxContent>
                </v:textbox>
                <w10:wrap type="none"/>
              </v:rect>
            </w:pict>
          </mc:Fallback>
        </mc:AlternateContent>
      </w:r>
    </w:p>
    <w:p>
      <w:pPr>
        <w:pStyle w:val="TextBody"/>
        <w:bidi w:val="0"/>
        <w:spacing w:before="0" w:after="0"/>
        <w:ind w:left="0" w:right="0" w:firstLine="540"/>
        <w:jc w:val="left"/>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PART I – FINANCIAL INFORMATION </w:t>
      </w:r>
    </w:p>
    <w:p>
      <w:pPr>
        <w:pStyle w:val="TextBody"/>
        <w:bidi w:val="0"/>
        <w:spacing w:lineRule="auto" w:line="288" w:before="24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 xml:space="preserve">The following discussion and analysis of our financial condition and results of operations should be read in conjunction with the unaudited condensed consolidated financial statements and the accompanying notes included in this report and the audited consolidated financial information and the accompanying notes included in our 2025 Annual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ind w:left="0" w:right="0" w:firstLine="540"/>
        <w:jc w:val="left"/>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Zai Lab Limited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Unaudited Condensed Consolidated Balance Sheets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(in thousands of U.S. dollars (“$”), except for number of shares and per share data) </w:t>
      </w:r>
    </w:p>
    <w:tbl>
      <w:tblPr>
        <w:tblW w:w="10205" w:type="dxa"/>
        <w:jc w:val="left"/>
        <w:tblInd w:w="0" w:type="dxa"/>
        <w:tblLayout w:type="fixed"/>
        <w:tblCellMar>
          <w:top w:w="28" w:type="dxa"/>
          <w:left w:w="28" w:type="dxa"/>
          <w:bottom w:w="28" w:type="dxa"/>
          <w:right w:w="28" w:type="dxa"/>
        </w:tblCellMar>
      </w:tblPr>
      <w:tblGrid>
        <w:gridCol w:w="2601"/>
        <w:gridCol w:w="2030"/>
        <w:gridCol w:w="2033"/>
        <w:gridCol w:w="170"/>
        <w:gridCol w:w="170"/>
        <w:gridCol w:w="171"/>
        <w:gridCol w:w="109"/>
        <w:gridCol w:w="109"/>
        <w:gridCol w:w="109"/>
        <w:gridCol w:w="451"/>
        <w:gridCol w:w="451"/>
        <w:gridCol w:w="179"/>
        <w:gridCol w:w="109"/>
        <w:gridCol w:w="109"/>
        <w:gridCol w:w="109"/>
        <w:gridCol w:w="449"/>
        <w:gridCol w:w="452"/>
        <w:gridCol w:w="394"/>
      </w:tblGrid>
      <w:tr>
        <w:trPr/>
        <w:tc>
          <w:tcPr>
            <w:tcW w:w="2601"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c>
          <w:tcPr>
            <w:tcW w:w="203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6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6664"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6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5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Current assets</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607,522 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679,573 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 current</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Short-term investments</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Accounts receivable (net of allowance for credit losses of $20 and $31 as of June 30, 2026 and December 31, 2025, respectively)</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69,595 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106,116 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Notes receivable</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12,169 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Inventories, net</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90,890 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74,745 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Prepayments and other current assets</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32,635 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36,683 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914,037 </w:t>
            </w:r>
          </w:p>
        </w:tc>
        <w:tc>
          <w:tcPr>
            <w:tcW w:w="1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1,019,286 </w:t>
            </w:r>
          </w:p>
        </w:tc>
        <w:tc>
          <w:tcPr>
            <w:tcW w:w="39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 non-current</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1,116 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4"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6664"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6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net</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46,431 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47,389 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right-of-use assets</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16,159 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19,152 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Land use rights, net</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2,853 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 assets, net</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85,774 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76,144 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assets</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3,390 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assets</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3,054 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assets</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1,074,793</w:t>
            </w:r>
            <w:r>
              <w:rPr>
                <w:color w:val="000000"/>
              </w:rPr>
              <w:t> </w:t>
            </w:r>
          </w:p>
        </w:tc>
        <w:tc>
          <w:tcPr>
            <w:tcW w:w="1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1,172,384</w:t>
            </w:r>
            <w:r>
              <w:rPr>
                <w:color w:val="000000"/>
              </w:rPr>
              <w:t> </w:t>
            </w:r>
          </w:p>
        </w:tc>
        <w:tc>
          <w:tcPr>
            <w:tcW w:w="39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 and shareholders’ equity</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Current liabilities</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136,692 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141,608 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operating lease liabilities</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5,025 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6,344 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Short-term debt</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238,104 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204,530 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liabilities</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48,763 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63,684 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428,584 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416,166 </w:t>
            </w:r>
          </w:p>
        </w:tc>
        <w:tc>
          <w:tcPr>
            <w:tcW w:w="3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27,500 </w:t>
            </w:r>
          </w:p>
        </w:tc>
        <w:tc>
          <w:tcPr>
            <w:tcW w:w="1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27,333 </w:t>
            </w:r>
          </w:p>
        </w:tc>
        <w:tc>
          <w:tcPr>
            <w:tcW w:w="39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operating lease liabilities</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11,447 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13,385 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liabilities</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liabilities</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467,756</w:t>
            </w:r>
            <w:r>
              <w:rPr>
                <w:color w:val="000000"/>
              </w:rPr>
              <w:t>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456,884</w:t>
            </w:r>
            <w:r>
              <w:rPr>
                <w:color w:val="000000"/>
              </w:rPr>
              <w:t> </w:t>
            </w:r>
          </w:p>
        </w:tc>
        <w:tc>
          <w:tcPr>
            <w:tcW w:w="3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Commitments and contingencies (Note 16)</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Shareholders’ equity</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Ordinary shares (par value of $0.000006 per share; 5,000,000,000 shares authorized; 1,132,222,310 and 1,113,822,550 shares issued as of June 30, 2026 and December 31, 2025, respectively; 1,122,445,390 and 1,106,389,340 shares outstanding as of June 30, 2026 and December 31, 2025, respectively)</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3,370,798 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3,343,469 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deficit</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(2,730,461)</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(2,628,620)</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income</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29,697 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Treasury Stock (at cost, 9,776,920 and 7,433,210 shares as of June 30, 2026 and December 31, 2025, respectively)</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(33,521)</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(29,053)</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shareholders’ equity</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607,037</w:t>
            </w:r>
            <w:r>
              <w:rPr>
                <w:color w:val="000000"/>
              </w:rPr>
              <w:t>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715,500</w:t>
            </w:r>
            <w:r>
              <w:rPr>
                <w:color w:val="000000"/>
              </w:rPr>
              <w:t> </w:t>
            </w:r>
          </w:p>
        </w:tc>
        <w:tc>
          <w:tcPr>
            <w:tcW w:w="3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liabilities and shareholders’ equity</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1,074,793</w:t>
            </w:r>
            <w:r>
              <w:rPr>
                <w:color w:val="000000"/>
              </w:rPr>
              <w:t> </w:t>
            </w:r>
          </w:p>
        </w:tc>
        <w:tc>
          <w:tcPr>
            <w:tcW w:w="1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1,172,384</w:t>
            </w:r>
            <w:r>
              <w:rPr>
                <w:color w:val="000000"/>
              </w:rPr>
              <w:t> </w:t>
            </w:r>
          </w:p>
        </w:tc>
        <w:tc>
          <w:tcPr>
            <w:tcW w:w="3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ind w:left="0" w:right="0" w:firstLine="540"/>
        <w:jc w:val="left"/>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Zai Lab Limited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Unaudited Condensed Consolidated Statements of Operations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(in thousands of $, except for number of shares and per share data) </w:t>
      </w:r>
    </w:p>
    <w:tbl>
      <w:tblPr>
        <w:tblW w:w="10205" w:type="dxa"/>
        <w:jc w:val="left"/>
        <w:tblInd w:w="0" w:type="dxa"/>
        <w:tblLayout w:type="fixed"/>
        <w:tblCellMar>
          <w:top w:w="28" w:type="dxa"/>
          <w:left w:w="28" w:type="dxa"/>
          <w:bottom w:w="28" w:type="dxa"/>
          <w:right w:w="28" w:type="dxa"/>
        </w:tblCellMar>
      </w:tblPr>
      <w:tblGrid>
        <w:gridCol w:w="1206"/>
        <w:gridCol w:w="577"/>
        <w:gridCol w:w="555"/>
        <w:gridCol w:w="180"/>
        <w:gridCol w:w="180"/>
        <w:gridCol w:w="181"/>
        <w:gridCol w:w="109"/>
        <w:gridCol w:w="109"/>
        <w:gridCol w:w="109"/>
        <w:gridCol w:w="926"/>
        <w:gridCol w:w="410"/>
        <w:gridCol w:w="129"/>
        <w:gridCol w:w="129"/>
        <w:gridCol w:w="129"/>
        <w:gridCol w:w="129"/>
        <w:gridCol w:w="926"/>
        <w:gridCol w:w="410"/>
        <w:gridCol w:w="129"/>
        <w:gridCol w:w="109"/>
        <w:gridCol w:w="109"/>
        <w:gridCol w:w="109"/>
        <w:gridCol w:w="903"/>
        <w:gridCol w:w="433"/>
        <w:gridCol w:w="125"/>
        <w:gridCol w:w="125"/>
        <w:gridCol w:w="125"/>
        <w:gridCol w:w="125"/>
        <w:gridCol w:w="903"/>
        <w:gridCol w:w="433"/>
        <w:gridCol w:w="183"/>
      </w:tblGrid>
      <w:tr>
        <w:trPr/>
        <w:tc>
          <w:tcPr>
            <w:tcW w:w="1206"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2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5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 net</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105,751 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109,085 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201,307 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214,735 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revenue</w:t>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106,311 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109,977 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205,922 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216,464 </w:t>
            </w:r>
          </w:p>
        </w:tc>
        <w:tc>
          <w:tcPr>
            <w:tcW w:w="18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revenue</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(48,162)</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(43,003)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(86,477)</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(81,455)</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collaboration revenue</w:t>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(61,766)</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(50,614)</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(127,357)</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(111,343)</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(72,872)</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(71,038)</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(137,942)</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(134,460)</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8"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519" w:type="dxa"/>
            <w:gridSpan w:val="3"/>
            <w:tcBorders/>
            <w:vAlign w:val="center"/>
          </w:tcPr>
          <w:p>
            <w:pPr>
              <w:pStyle w:val="TableContents"/>
              <w:bidi w:val="0"/>
              <w:spacing w:before="0" w:after="283"/>
              <w:jc w:val="left"/>
              <w:rPr>
                <w:sz w:val="4"/>
                <w:szCs w:val="4"/>
              </w:rPr>
            </w:pPr>
            <w:r>
              <w:rPr>
                <w:sz w:val="4"/>
                <w:szCs w:val="4"/>
              </w:rPr>
            </w:r>
          </w:p>
        </w:tc>
      </w:tr>
      <w:tr>
        <w:trPr/>
        <w:tc>
          <w:tcPr>
            <w:tcW w:w="2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(76,489)</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(54,895)</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(145,874)</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(111,206)</w:t>
            </w:r>
          </w:p>
        </w:tc>
        <w:tc>
          <w:tcPr>
            <w:tcW w:w="18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expenses</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(2,449)</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Foreign currency gains </w:t>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29,902 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Loss before income tax </w:t>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(51,847)</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(40,727)</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(101,423)</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(89,165)</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(50,825)</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(40,727)</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(101,841)</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(89,165)</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per share - basic and diluted</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6"/>
              </w:rPr>
            </w:pPr>
            <w:r>
              <w:rPr>
                <w:rFonts w:ascii="Times New Roman;serif" w:hAnsi="Times New Roman;serif"/>
                <w:b w:val="false"/>
                <w:color w:val="000000"/>
                <w:sz w:val="16"/>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2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2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w:t>
            </w:r>
          </w:p>
        </w:tc>
        <w:tc>
          <w:tcPr>
            <w:tcW w:w="12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8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in calculating net loss per ordinary share - basic and diluted</w:t>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1,116,973,380 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1,091,933,150 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1,112,208,460 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1,086,413,130 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 xml:space="preserve">The accompanying notes are an integral part of these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ind w:left="0" w:right="0" w:firstLine="540"/>
        <w:jc w:val="left"/>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Zai Lab Limited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Unaudited Condensed Consolidated Statements of Comprehensive Loss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(in thousands of $) </w:t>
      </w:r>
    </w:p>
    <w:p>
      <w:pPr>
        <w:pStyle w:val="TextBody"/>
        <w:bidi w:val="0"/>
        <w:spacing w:before="0" w:after="0"/>
        <w:ind w:left="0" w:right="0" w:firstLine="540"/>
        <w:jc w:val="left"/>
        <w:rPr/>
      </w:pPr>
      <w:r>
        <w:rPr/>
      </w:r>
    </w:p>
    <w:tbl>
      <w:tblPr>
        <w:tblW w:w="10205" w:type="dxa"/>
        <w:jc w:val="left"/>
        <w:tblInd w:w="0" w:type="dxa"/>
        <w:tblLayout w:type="fixed"/>
        <w:tblCellMar>
          <w:top w:w="28" w:type="dxa"/>
          <w:left w:w="28" w:type="dxa"/>
          <w:bottom w:w="28" w:type="dxa"/>
          <w:right w:w="28" w:type="dxa"/>
        </w:tblCellMar>
      </w:tblPr>
      <w:tblGrid>
        <w:gridCol w:w="1367"/>
        <w:gridCol w:w="1189"/>
        <w:gridCol w:w="1212"/>
        <w:gridCol w:w="109"/>
        <w:gridCol w:w="109"/>
        <w:gridCol w:w="109"/>
        <w:gridCol w:w="519"/>
        <w:gridCol w:w="270"/>
        <w:gridCol w:w="255"/>
        <w:gridCol w:w="255"/>
        <w:gridCol w:w="255"/>
        <w:gridCol w:w="255"/>
        <w:gridCol w:w="519"/>
        <w:gridCol w:w="270"/>
        <w:gridCol w:w="255"/>
        <w:gridCol w:w="109"/>
        <w:gridCol w:w="109"/>
        <w:gridCol w:w="109"/>
        <w:gridCol w:w="606"/>
        <w:gridCol w:w="288"/>
        <w:gridCol w:w="229"/>
        <w:gridCol w:w="229"/>
        <w:gridCol w:w="229"/>
        <w:gridCol w:w="229"/>
        <w:gridCol w:w="531"/>
        <w:gridCol w:w="257"/>
        <w:gridCol w:w="332"/>
      </w:tblGrid>
      <w:tr>
        <w:trPr/>
        <w:tc>
          <w:tcPr>
            <w:tcW w:w="136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3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7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6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(50,825)</w:t>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(40,727)</w:t>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(101,841)</w:t>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(89,165)</w:t>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Other comprehensive loss, net of tax of nil: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(14,891)</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(2,955)</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(29,483)</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(4,167)</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(65,716)</w:t>
            </w:r>
          </w:p>
        </w:tc>
        <w:tc>
          <w:tcPr>
            <w:tcW w:w="2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(43,682)</w:t>
            </w:r>
          </w:p>
        </w:tc>
        <w:tc>
          <w:tcPr>
            <w:tcW w:w="2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(131,324)</w:t>
            </w:r>
          </w:p>
        </w:tc>
        <w:tc>
          <w:tcPr>
            <w:tcW w:w="2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(93,332)</w:t>
            </w:r>
          </w:p>
        </w:tc>
        <w:tc>
          <w:tcPr>
            <w:tcW w:w="3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 xml:space="preserve">The accompanying notes are an integral part of these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ind w:left="0" w:right="0" w:firstLine="540"/>
        <w:jc w:val="left"/>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Zai Lab Limited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Unaudited Condensed Consolidated Statements of Shareholders’ Equity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(in thousands of $, except for number of shares) </w:t>
      </w:r>
    </w:p>
    <w:p>
      <w:pPr>
        <w:pStyle w:val="TextBody"/>
        <w:bidi w:val="0"/>
        <w:spacing w:before="0" w:after="0"/>
        <w:ind w:left="0" w:right="0" w:firstLine="540"/>
        <w:jc w:val="left"/>
        <w:rPr/>
      </w:pPr>
      <w:r>
        <w:rPr/>
      </w:r>
    </w:p>
    <w:tbl>
      <w:tblPr>
        <w:tblW w:w="11998" w:type="dxa"/>
        <w:jc w:val="left"/>
        <w:tblInd w:w="0" w:type="dxa"/>
        <w:tblLayout w:type="fixed"/>
        <w:tblCellMar>
          <w:top w:w="28" w:type="dxa"/>
          <w:left w:w="28" w:type="dxa"/>
          <w:bottom w:w="28" w:type="dxa"/>
          <w:right w:w="28" w:type="dxa"/>
        </w:tblCellMar>
      </w:tblPr>
      <w:tblGrid>
        <w:gridCol w:w="559"/>
        <w:gridCol w:w="268"/>
        <w:gridCol w:w="269"/>
        <w:gridCol w:w="593"/>
        <w:gridCol w:w="593"/>
        <w:gridCol w:w="231"/>
        <w:gridCol w:w="109"/>
        <w:gridCol w:w="109"/>
        <w:gridCol w:w="109"/>
        <w:gridCol w:w="230"/>
        <w:gridCol w:w="230"/>
        <w:gridCol w:w="231"/>
        <w:gridCol w:w="109"/>
        <w:gridCol w:w="109"/>
        <w:gridCol w:w="109"/>
        <w:gridCol w:w="435"/>
        <w:gridCol w:w="436"/>
        <w:gridCol w:w="291"/>
        <w:gridCol w:w="109"/>
        <w:gridCol w:w="109"/>
        <w:gridCol w:w="109"/>
        <w:gridCol w:w="443"/>
        <w:gridCol w:w="443"/>
        <w:gridCol w:w="351"/>
        <w:gridCol w:w="109"/>
        <w:gridCol w:w="109"/>
        <w:gridCol w:w="109"/>
        <w:gridCol w:w="390"/>
        <w:gridCol w:w="390"/>
        <w:gridCol w:w="391"/>
        <w:gridCol w:w="109"/>
        <w:gridCol w:w="109"/>
        <w:gridCol w:w="109"/>
        <w:gridCol w:w="443"/>
        <w:gridCol w:w="443"/>
        <w:gridCol w:w="196"/>
        <w:gridCol w:w="109"/>
        <w:gridCol w:w="109"/>
        <w:gridCol w:w="109"/>
        <w:gridCol w:w="330"/>
        <w:gridCol w:w="331"/>
        <w:gridCol w:w="231"/>
        <w:gridCol w:w="109"/>
        <w:gridCol w:w="109"/>
        <w:gridCol w:w="109"/>
        <w:gridCol w:w="368"/>
        <w:gridCol w:w="368"/>
        <w:gridCol w:w="225"/>
      </w:tblGrid>
      <w:tr>
        <w:trPr/>
        <w:tc>
          <w:tcPr>
            <w:tcW w:w="55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Ordinary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w:t>
              <w:br/>
              <w:t>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other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comprehensive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w:t>
              <w:br/>
              <w:t>of</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December 31, 2025</w:t>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1,113,822,550 </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3,343,469 </w:t>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(2,628,620)</w:t>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29,697 </w:t>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(7,433,210)</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(29,053)</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715,500 </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ordinary shares upon vesting of restricted shares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371,630 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share options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4,641,010 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833 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Receipt of shares netted to satisfy tax withholding obligations related to share-based compensation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(1,169,360)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(2,268)</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(2,268)</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13,524 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13,524 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(51,016)</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(51,016)</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(14,592)</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(14,592)</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March 31, 2026</w:t>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1,118,835,190 </w:t>
            </w:r>
          </w:p>
        </w:tc>
        <w:tc>
          <w:tcPr>
            <w:tcW w:w="2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3,357,826 </w:t>
            </w:r>
          </w:p>
        </w:tc>
        <w:tc>
          <w:tcPr>
            <w:tcW w:w="2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(2,679,636)</w:t>
            </w:r>
          </w:p>
        </w:tc>
        <w:tc>
          <w:tcPr>
            <w:tcW w:w="3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15,105 </w:t>
            </w:r>
          </w:p>
        </w:tc>
        <w:tc>
          <w:tcPr>
            <w:tcW w:w="3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(8,602,570)</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(31,321)</w:t>
            </w:r>
          </w:p>
        </w:tc>
        <w:tc>
          <w:tcPr>
            <w:tcW w:w="2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661,981 </w:t>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ordinary shares upon vesting of restricted shares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8,585,230 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share options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4,801,890 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1,031 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1,031 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Receipt of shares netted to satisfy tax withholding obligations related to share-based compensation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(1,174,350)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(2,200)</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(2,200)</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11,941 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11,941 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(50,825)</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(50,825)</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(14,891)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(14,891)</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June 30, 2026</w:t>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1,132,222,310 </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3,370,798 </w:t>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(2,730,461)</w:t>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214 </w:t>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(9,776,920)</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(33,521)</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607,037 </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ind w:left="0" w:right="0" w:firstLine="540"/>
        <w:jc w:val="left"/>
        <w:rPr/>
      </w:pPr>
      <w:r>
        <w:rPr/>
      </w:r>
    </w:p>
    <w:tbl>
      <w:tblPr>
        <w:tblW w:w="11998" w:type="dxa"/>
        <w:jc w:val="left"/>
        <w:tblInd w:w="0" w:type="dxa"/>
        <w:tblLayout w:type="fixed"/>
        <w:tblCellMar>
          <w:top w:w="28" w:type="dxa"/>
          <w:left w:w="28" w:type="dxa"/>
          <w:bottom w:w="28" w:type="dxa"/>
          <w:right w:w="28" w:type="dxa"/>
        </w:tblCellMar>
      </w:tblPr>
      <w:tblGrid>
        <w:gridCol w:w="559"/>
        <w:gridCol w:w="268"/>
        <w:gridCol w:w="269"/>
        <w:gridCol w:w="593"/>
        <w:gridCol w:w="593"/>
        <w:gridCol w:w="231"/>
        <w:gridCol w:w="109"/>
        <w:gridCol w:w="109"/>
        <w:gridCol w:w="109"/>
        <w:gridCol w:w="230"/>
        <w:gridCol w:w="230"/>
        <w:gridCol w:w="231"/>
        <w:gridCol w:w="109"/>
        <w:gridCol w:w="109"/>
        <w:gridCol w:w="109"/>
        <w:gridCol w:w="435"/>
        <w:gridCol w:w="436"/>
        <w:gridCol w:w="291"/>
        <w:gridCol w:w="109"/>
        <w:gridCol w:w="109"/>
        <w:gridCol w:w="109"/>
        <w:gridCol w:w="443"/>
        <w:gridCol w:w="443"/>
        <w:gridCol w:w="351"/>
        <w:gridCol w:w="109"/>
        <w:gridCol w:w="109"/>
        <w:gridCol w:w="109"/>
        <w:gridCol w:w="390"/>
        <w:gridCol w:w="390"/>
        <w:gridCol w:w="391"/>
        <w:gridCol w:w="109"/>
        <w:gridCol w:w="109"/>
        <w:gridCol w:w="109"/>
        <w:gridCol w:w="443"/>
        <w:gridCol w:w="443"/>
        <w:gridCol w:w="196"/>
        <w:gridCol w:w="109"/>
        <w:gridCol w:w="109"/>
        <w:gridCol w:w="109"/>
        <w:gridCol w:w="330"/>
        <w:gridCol w:w="331"/>
        <w:gridCol w:w="231"/>
        <w:gridCol w:w="109"/>
        <w:gridCol w:w="109"/>
        <w:gridCol w:w="109"/>
        <w:gridCol w:w="368"/>
        <w:gridCol w:w="368"/>
        <w:gridCol w:w="225"/>
      </w:tblGrid>
      <w:tr>
        <w:trPr/>
        <w:tc>
          <w:tcPr>
            <w:tcW w:w="55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Ordinary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w:t>
              <w:br/>
              <w:t>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w:t>
              <w:br/>
              <w:t>of</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December 31, 2024</w:t>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1,082,614,740 </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3,264,295 </w:t>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(2,453,083)</w:t>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50,515 </w:t>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(4,912,200)</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(20,836)</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840,898 </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ordinary shares upon vesting of restricted shares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137,540 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share options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6,324,120 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3,733 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3,733 </w:t>
            </w:r>
          </w:p>
        </w:tc>
        <w:tc>
          <w:tcPr>
            <w:tcW w:w="22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cost of the follow-on public offering</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15,800 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15,800 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(48,438)</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(48,438)</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(1,212)</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(1,212)</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March 31, 2025</w:t>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1,089,076,400 </w:t>
            </w:r>
          </w:p>
        </w:tc>
        <w:tc>
          <w:tcPr>
            <w:tcW w:w="2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3,283,800 </w:t>
            </w:r>
          </w:p>
        </w:tc>
        <w:tc>
          <w:tcPr>
            <w:tcW w:w="2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(2,501,521)</w:t>
            </w:r>
          </w:p>
        </w:tc>
        <w:tc>
          <w:tcPr>
            <w:tcW w:w="3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49,303 </w:t>
            </w:r>
          </w:p>
        </w:tc>
        <w:tc>
          <w:tcPr>
            <w:tcW w:w="3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(4,912,200)</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(20,836)</w:t>
            </w:r>
          </w:p>
        </w:tc>
        <w:tc>
          <w:tcPr>
            <w:tcW w:w="2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810,753 </w:t>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ordinary shares upon vesting of restricted shares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9,698,120 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share options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5,258,390 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7,718 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Receipt of shares netted to satisfy tax withholding obligations related to share-based compensation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16,973 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16,973 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(40,727)</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(40,727)</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(2,955)</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June 30, 2025</w:t>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1,104,032,910 </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3,308,491 </w:t>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(2,542,248)</w:t>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46,348 </w:t>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(4,920,020)</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(20,863)</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791,735 </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 xml:space="preserve">The accompanying notes are an integral part of these unaudited condensed consolidated financial statements. “0” in above table means less than 1,000 dollars.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Zai Lab Limited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Unaudited Condensed Consolidated Statements of Cash Flows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(in thousands of $) </w:t>
      </w:r>
    </w:p>
    <w:tbl>
      <w:tblPr>
        <w:tblW w:w="9656" w:type="dxa"/>
        <w:jc w:val="center"/>
        <w:tblInd w:w="0" w:type="dxa"/>
        <w:tblLayout w:type="fixed"/>
        <w:tblCellMar>
          <w:top w:w="28" w:type="dxa"/>
          <w:left w:w="28" w:type="dxa"/>
          <w:bottom w:w="28" w:type="dxa"/>
          <w:right w:w="28" w:type="dxa"/>
        </w:tblCellMar>
      </w:tblPr>
      <w:tblGrid>
        <w:gridCol w:w="2564"/>
        <w:gridCol w:w="2257"/>
        <w:gridCol w:w="2273"/>
        <w:gridCol w:w="449"/>
        <w:gridCol w:w="451"/>
        <w:gridCol w:w="156"/>
        <w:gridCol w:w="154"/>
        <w:gridCol w:w="154"/>
        <w:gridCol w:w="154"/>
        <w:gridCol w:w="413"/>
        <w:gridCol w:w="413"/>
        <w:gridCol w:w="218"/>
      </w:tblGrid>
      <w:tr>
        <w:trPr/>
        <w:tc>
          <w:tcPr>
            <w:tcW w:w="2564" w:type="dxa"/>
            <w:tcBorders/>
            <w:vAlign w:val="center"/>
          </w:tcPr>
          <w:p>
            <w:pPr>
              <w:pStyle w:val="TableContents"/>
              <w:bidi w:val="0"/>
              <w:spacing w:before="0" w:after="283"/>
              <w:jc w:val="left"/>
              <w:rPr>
                <w:sz w:val="4"/>
                <w:szCs w:val="4"/>
              </w:rPr>
            </w:pPr>
            <w:r>
              <w:rPr>
                <w:sz w:val="4"/>
                <w:szCs w:val="4"/>
              </w:rPr>
            </w:r>
          </w:p>
        </w:tc>
        <w:tc>
          <w:tcPr>
            <w:tcW w:w="2257" w:type="dxa"/>
            <w:tcBorders/>
            <w:vAlign w:val="center"/>
          </w:tcPr>
          <w:p>
            <w:pPr>
              <w:pStyle w:val="TableContents"/>
              <w:bidi w:val="0"/>
              <w:spacing w:before="0" w:after="283"/>
              <w:jc w:val="left"/>
              <w:rPr>
                <w:sz w:val="4"/>
                <w:szCs w:val="4"/>
              </w:rPr>
            </w:pPr>
            <w:r>
              <w:rPr>
                <w:sz w:val="4"/>
                <w:szCs w:val="4"/>
              </w:rPr>
            </w:r>
          </w:p>
        </w:tc>
        <w:tc>
          <w:tcPr>
            <w:tcW w:w="2273"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7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7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(101,841)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(89,165)</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write-down</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7,193 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income</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(2,661)</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32,773 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fair value changes of equity investment with readily determinable fair value</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on disposal of property and equipment</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lease expenses</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5,377 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remeasurement impact</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(29,902)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(3,488)</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(2,945)</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receivable</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(6,611)</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(21,827)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(22,096)</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Prepayments and other current assets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6,474 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(15,948)</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(5,418)</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9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(75,318)</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(92,723)</w:t>
            </w:r>
          </w:p>
        </w:tc>
        <w:tc>
          <w:tcPr>
            <w:tcW w:w="2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maturity of short-term investment</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330,000 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sale of equity investment</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(4,419)</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sale of property and equipment</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intangible assets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(21,246)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(3,621)</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investing activities</w:t>
            </w:r>
          </w:p>
        </w:tc>
        <w:tc>
          <w:tcPr>
            <w:tcW w:w="9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(23,705)</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323,211 </w:t>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short-term debt</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124,349 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Repayment of short-term bank borrowings </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(129,919)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(82,818)</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debt issuance costs</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exercises of stock options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11,444 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public offering costs</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taxes paid related to net share settlement of equity awards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9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24,278 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51,990 </w:t>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exchange rate changes on cash, cash equivalents and restricted cash</w:t>
            </w:r>
          </w:p>
        </w:tc>
        <w:tc>
          <w:tcPr>
            <w:tcW w:w="9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2,696 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2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cash equivalents and restricted cash</w:t>
            </w:r>
          </w:p>
        </w:tc>
        <w:tc>
          <w:tcPr>
            <w:tcW w:w="9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(72,049)</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282,603 </w:t>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 beginning of period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780,689 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550,781 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 end of period</w:t>
            </w:r>
          </w:p>
        </w:tc>
        <w:tc>
          <w:tcPr>
            <w:tcW w:w="9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708,640 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833,384 </w:t>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on non-cash investing and financing activities</w:t>
            </w:r>
          </w:p>
        </w:tc>
        <w:tc>
          <w:tcPr>
            <w:tcW w:w="105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Payables for purchase of property and equipment</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2,498 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Payables for acquisition of intangible assets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2,419 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Payables for public offering costs</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for stock option exercise under equity incentive plans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2,301 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i/>
          <w:color w:val="000000"/>
          <w:sz w:val="20"/>
        </w:rPr>
      </w:pPr>
      <w:r>
        <w:rPr>
          <w:rFonts w:ascii="Times New Roman;serif" w:hAnsi="Times New Roman;serif"/>
          <w:b w:val="false"/>
          <w:i/>
          <w:color w:val="000000"/>
          <w:sz w:val="20"/>
        </w:rPr>
        <w:t xml:space="preserve">The accompanying notes are an integral part of these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Zai Lab Limited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1. Organization and Principal Activities </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Zai Lab Limited was incorporated on March 28, 2013 in the Cayman Islands as an exempted company with limited liability under the Companies Act of the Cayman Islands (as amended). Zai Lab Limited and its subsidiaries (collectively referred to as the “Company”) are focused on discovering, developing, and commercializing products that address medical conditions with significant unmet needs in the areas of oncology, immunology, neuroscience, and infectious disease. </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principal operations and geographic markets are in Greater China. The Company has a substantial presence in Greater China and the United States.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2. Basis of Presentation and Consolidation and Significant Accounting Policies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(a) Basis of Presentation</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condensed consolidated financial statements have been prepared in accordance with U.S. generally accepted accounting principles (“U.S. GAAP”), and applicable rules and regulations of the U.S. Securities and Exchange Commission (the “SEC”), regarding interim financial reporting. Certain information and note disclosures normally included in the financial statements prepared in accordance with U.S. GAAP have been condensed or omitted pursuant to such rules and regulations. As such, the information included in this report should be read in conjunction with the consolidated financial statements and accompanying notes included in the Annual Report on Form 10-K for the year ended December 31, 2025 (the “2025 Annual Report”). The December 31, 2025 condensed consolidated balance sheet data included in this report were derived from the audited financial statements in the 2025 Annual Report. </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reflect all normal recurring adjustments that are necessary to present fairly the results for the interim periods presented. Interim results are not necessarily indicative of the results for the year ending December 31, 2026.</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 xml:space="preserve">(b) Principles of Consolidation </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unaudited condensed consolidated financial statements include the accounts of Zai Lab Limited and its subsidiaries, which are wholly owned. All intercompany transactions and balances are eliminated upon consolidation.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 xml:space="preserve">(c) Use of Estimates </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preparation of the unaudited condensed consolidated financial statements in conformity with U.S. GAAP requires management to make estimates, judgments, and assumptions that affect the reported amounts of assets and liabilities and disclosures of contingent assets and liabilities at the date of the financial statements and the reported amounts of revenues and expenses during the period. Areas where management uses subjective judgment include, but are not limited to, accrual of rebates, recognition of research and development expenses based on the Company’s estimates of the actual services performed by CROs and CMOs, fair value of share-based compensation expenses, recoverability of deferred tax assets, and useful life of intangible assets for commercial products. These estimates, judgments, and assumptions can affect the reported amounts of assets and liabilities as of the date of the financial statements as well as the reported amounts of revenues and expenses during the periods presented. Actual results could differ from these estimates.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 xml:space="preserve">(d) Fair Value Measurements </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Financial instruments of the Company primarily include cash and cash equivalents, current restricted cash, short-term investments, accounts receivable, notes receivable, prepayments and other current assets, non-current restricted cash, accounts payable, short-term debt, and other current liabilities. As of June 30, 2026 and December 31, 2025, the carrying values of cash and cash equivalents, current restricted cash, short-term investments, accounts receivable, prepayments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Zai Lab Limited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p>
      <w:pPr>
        <w:pStyle w:val="TextBody"/>
        <w:bidi w:val="0"/>
        <w:spacing w:lineRule="auto" w:line="333" w:before="18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 accounts payable, short-term debt, and other current liabilities approximated their fair value due to the short-term maturity of these instruments, and the carrying value of notes receivable and non-current restricted cash approximated their fair value based on the assessment of the ability to recover these amounts.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(e) Recent Accounting Pronouncements</w:t>
      </w:r>
    </w:p>
    <w:p>
      <w:pPr>
        <w:pStyle w:val="TextBody"/>
        <w:bidi w:val="0"/>
        <w:spacing w:lineRule="auto" w:line="333" w:before="240" w:after="283"/>
        <w:jc w:val="left"/>
        <w:rPr>
          <w:rFonts w:ascii="Times New Roman;serif" w:hAnsi="Times New Roman;serif"/>
          <w:b/>
          <w:i/>
          <w:color w:val="000000"/>
          <w:sz w:val="20"/>
        </w:rPr>
      </w:pPr>
      <w:r>
        <w:rPr>
          <w:rFonts w:ascii="Times New Roman;serif" w:hAnsi="Times New Roman;serif"/>
          <w:b/>
          <w:i/>
          <w:color w:val="000000"/>
          <w:sz w:val="20"/>
        </w:rPr>
        <w:t>Recently Issued Accounting Pronouncements Not Yet Adopted</w:t>
      </w:r>
    </w:p>
    <w:p>
      <w:pPr>
        <w:pStyle w:val="TextBody"/>
        <w:bidi w:val="0"/>
        <w:spacing w:lineRule="auto" w:line="333" w:before="180" w:after="283"/>
        <w:ind w:left="0" w:right="0" w:firstLine="540"/>
        <w:jc w:val="left"/>
        <w:rPr/>
      </w:pPr>
      <w:r>
        <w:rPr>
          <w:rFonts w:ascii="Times New Roman;serif" w:hAnsi="Times New Roman;serif"/>
          <w:b w:val="false"/>
          <w:color w:val="000000"/>
          <w:sz w:val="20"/>
        </w:rPr>
        <w:t xml:space="preserve">In November 2024, the FASB issued ASU No. 2024-03, </w:t>
      </w:r>
      <w:r>
        <w:rPr>
          <w:rFonts w:ascii="Times New Roman;serif" w:hAnsi="Times New Roman;serif"/>
          <w:b w:val="false"/>
          <w:i/>
          <w:color w:val="000000"/>
          <w:sz w:val="20"/>
        </w:rPr>
        <w:t>Income Statement - Reporting Comprehensive Income - Expense Disaggregation Disclosures (Subtopic 220-40): Disaggregation of Income Statement Expenses</w:t>
      </w:r>
      <w:r>
        <w:rPr>
          <w:rFonts w:ascii="Times New Roman;serif" w:hAnsi="Times New Roman;serif"/>
          <w:b w:val="false"/>
          <w:color w:val="000000"/>
          <w:sz w:val="20"/>
        </w:rPr>
        <w:t>. This ASU requires disclosure in the notes to the financial statements of specified information about certain costs and expenses. This ASU will be effective for annual reporting periods beginning after December 15, 2026 and interim reporting periods beginning after December 15, 2027. Early adoption is permitted. This ASU will result in the required additional disclosures being included in the notes to consolidated financial statements, once adopted. The Company is currently evaluating the impact of this ASU and expects to adopt it for the year ending December 31, 2027.</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additional information on the Company’s significant accounting policies, refer to the notes to the consolidated financial statements in the 2025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3. Cash and Cash Equivalents </w:t>
      </w:r>
    </w:p>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cash and cash equivalents ($ in thousands):</w:t>
      </w:r>
    </w:p>
    <w:tbl>
      <w:tblPr>
        <w:tblW w:w="5438" w:type="dxa"/>
        <w:jc w:val="left"/>
        <w:tblInd w:w="0" w:type="dxa"/>
        <w:tblLayout w:type="fixed"/>
        <w:tblCellMar>
          <w:top w:w="28" w:type="dxa"/>
          <w:left w:w="28" w:type="dxa"/>
          <w:bottom w:w="28" w:type="dxa"/>
          <w:right w:w="28" w:type="dxa"/>
        </w:tblCellMar>
      </w:tblPr>
      <w:tblGrid>
        <w:gridCol w:w="833"/>
        <w:gridCol w:w="732"/>
        <w:gridCol w:w="744"/>
        <w:gridCol w:w="413"/>
        <w:gridCol w:w="413"/>
        <w:gridCol w:w="386"/>
        <w:gridCol w:w="109"/>
        <w:gridCol w:w="109"/>
        <w:gridCol w:w="109"/>
        <w:gridCol w:w="465"/>
        <w:gridCol w:w="465"/>
        <w:gridCol w:w="660"/>
      </w:tblGrid>
      <w:tr>
        <w:trPr/>
        <w:tc>
          <w:tcPr>
            <w:tcW w:w="833"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w:t>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606,287 </w:t>
            </w:r>
          </w:p>
        </w:tc>
        <w:tc>
          <w:tcPr>
            <w:tcW w:w="3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678,358 </w:t>
            </w:r>
          </w:p>
        </w:tc>
        <w:tc>
          <w:tcPr>
            <w:tcW w:w="6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 (i)</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607,522 </w:t>
            </w:r>
          </w:p>
        </w:tc>
        <w:tc>
          <w:tcPr>
            <w:tcW w:w="3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679,573 </w:t>
            </w:r>
          </w:p>
        </w:tc>
        <w:tc>
          <w:tcPr>
            <w:tcW w:w="6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Denominated in:</w:t>
            </w:r>
          </w:p>
        </w:tc>
        <w:tc>
          <w:tcPr>
            <w:tcW w:w="1212"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582,184 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651,196 </w:t>
            </w:r>
          </w:p>
        </w:tc>
        <w:tc>
          <w:tcPr>
            <w:tcW w:w="6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Renminbi (“RMB”) (ii)</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21,032 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25,358 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Hong Kong dollar (“HK$”)</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3,573 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2,020 </w:t>
            </w:r>
          </w:p>
        </w:tc>
        <w:tc>
          <w:tcPr>
            <w:tcW w:w="6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Australian dollar (“A$”)</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Taiwan dollar (“TW$”)</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6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607,522 </w:t>
            </w:r>
          </w:p>
        </w:tc>
        <w:tc>
          <w:tcPr>
            <w:tcW w:w="3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679,573 </w:t>
            </w:r>
          </w:p>
        </w:tc>
        <w:tc>
          <w:tcPr>
            <w:tcW w:w="6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(i)Cash equivalents represent short-term and highly liquid investments in a money market fund. </w:t>
      </w:r>
    </w:p>
    <w:p>
      <w:pPr>
        <w:pStyle w:val="TextBody"/>
        <w:bidi w:val="0"/>
        <w:spacing w:lineRule="auto" w:line="288" w:before="18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(ii)Certain cash and bank balances denominated in RMB were deposited with banks in mainland China. The conversion of these RMB-denominated balances into foreign currencies is subject to the rules and regulations of foreign exchange control promulgated by the Chinese government.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Zai Lab Limited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4. Inventories, Net </w:t>
      </w:r>
    </w:p>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inventories, net ($ in thousands):</w:t>
      </w:r>
    </w:p>
    <w:tbl>
      <w:tblPr>
        <w:tblW w:w="4570" w:type="dxa"/>
        <w:jc w:val="left"/>
        <w:tblInd w:w="0" w:type="dxa"/>
        <w:tblLayout w:type="fixed"/>
        <w:tblCellMar>
          <w:top w:w="28" w:type="dxa"/>
          <w:left w:w="28" w:type="dxa"/>
          <w:bottom w:w="28" w:type="dxa"/>
          <w:right w:w="28" w:type="dxa"/>
        </w:tblCellMar>
      </w:tblPr>
      <w:tblGrid>
        <w:gridCol w:w="543"/>
        <w:gridCol w:w="477"/>
        <w:gridCol w:w="479"/>
        <w:gridCol w:w="384"/>
        <w:gridCol w:w="384"/>
        <w:gridCol w:w="386"/>
        <w:gridCol w:w="109"/>
        <w:gridCol w:w="109"/>
        <w:gridCol w:w="109"/>
        <w:gridCol w:w="465"/>
        <w:gridCol w:w="465"/>
        <w:gridCol w:w="660"/>
      </w:tblGrid>
      <w:tr>
        <w:trPr/>
        <w:tc>
          <w:tcPr>
            <w:tcW w:w="54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499"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7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58,460 </w:t>
            </w:r>
          </w:p>
        </w:tc>
        <w:tc>
          <w:tcPr>
            <w:tcW w:w="3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45,848 </w:t>
            </w:r>
          </w:p>
        </w:tc>
        <w:tc>
          <w:tcPr>
            <w:tcW w:w="6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27,117 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23,106 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progress</w:t>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5,313 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5,791 </w:t>
            </w:r>
          </w:p>
        </w:tc>
        <w:tc>
          <w:tcPr>
            <w:tcW w:w="6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76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90,890 </w:t>
            </w:r>
          </w:p>
        </w:tc>
        <w:tc>
          <w:tcPr>
            <w:tcW w:w="3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74,745 </w:t>
            </w:r>
          </w:p>
        </w:tc>
        <w:tc>
          <w:tcPr>
            <w:tcW w:w="6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18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Company writes down inventory for any excess or obsolete inventory or when the Company believes that the net realizable value of inventory is less than the carrying value. The Company recorded write-downs in inventory, which were included in cost of product revenue, of $5.9 million and $6.1 million in the three and six months ended June 30, 2026, respectively, and $0.3 million in both the three and six months ended June 30, 2025, respectively. The inventory write-down in the three and six months ended June 30, 2026 was mainly related to VYVGART Hytrulo.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5. Property and Equipment, Net </w:t>
      </w:r>
    </w:p>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components of the Company’s property and equipment, net ($ in thousands):</w:t>
      </w:r>
    </w:p>
    <w:tbl>
      <w:tblPr>
        <w:tblW w:w="5783" w:type="dxa"/>
        <w:jc w:val="left"/>
        <w:tblInd w:w="0" w:type="dxa"/>
        <w:tblLayout w:type="fixed"/>
        <w:tblCellMar>
          <w:top w:w="28" w:type="dxa"/>
          <w:left w:w="28" w:type="dxa"/>
          <w:bottom w:w="28" w:type="dxa"/>
          <w:right w:w="28" w:type="dxa"/>
        </w:tblCellMar>
      </w:tblPr>
      <w:tblGrid>
        <w:gridCol w:w="973"/>
        <w:gridCol w:w="853"/>
        <w:gridCol w:w="858"/>
        <w:gridCol w:w="398"/>
        <w:gridCol w:w="398"/>
        <w:gridCol w:w="386"/>
        <w:gridCol w:w="109"/>
        <w:gridCol w:w="109"/>
        <w:gridCol w:w="109"/>
        <w:gridCol w:w="465"/>
        <w:gridCol w:w="465"/>
        <w:gridCol w:w="660"/>
      </w:tblGrid>
      <w:tr>
        <w:trPr/>
        <w:tc>
          <w:tcPr>
            <w:tcW w:w="973"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Office equipment</w:t>
            </w:r>
          </w:p>
        </w:tc>
        <w:tc>
          <w:tcPr>
            <w:tcW w:w="7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1,217 </w:t>
            </w:r>
          </w:p>
        </w:tc>
        <w:tc>
          <w:tcPr>
            <w:tcW w:w="3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1,201 </w:t>
            </w:r>
          </w:p>
        </w:tc>
        <w:tc>
          <w:tcPr>
            <w:tcW w:w="6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Electronic equipment</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12,441 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10,964 </w:t>
            </w:r>
          </w:p>
        </w:tc>
        <w:tc>
          <w:tcPr>
            <w:tcW w:w="660"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Vehicle</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660"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Laboratory equipment</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20,392 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20,040 </w:t>
            </w:r>
          </w:p>
        </w:tc>
        <w:tc>
          <w:tcPr>
            <w:tcW w:w="660"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 equipment</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18,562 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17,948 </w:t>
            </w:r>
          </w:p>
        </w:tc>
        <w:tc>
          <w:tcPr>
            <w:tcW w:w="660"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14,441 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14,049 </w:t>
            </w:r>
          </w:p>
        </w:tc>
        <w:tc>
          <w:tcPr>
            <w:tcW w:w="660"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Building</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25,383 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24,596 </w:t>
            </w:r>
          </w:p>
        </w:tc>
        <w:tc>
          <w:tcPr>
            <w:tcW w:w="660"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952 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93,594 </w:t>
            </w:r>
          </w:p>
        </w:tc>
        <w:tc>
          <w:tcPr>
            <w:tcW w:w="3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89,552 </w:t>
            </w:r>
          </w:p>
        </w:tc>
        <w:tc>
          <w:tcPr>
            <w:tcW w:w="6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(47,163)</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(42,163)</w:t>
            </w:r>
          </w:p>
        </w:tc>
        <w:tc>
          <w:tcPr>
            <w:tcW w:w="660"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79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46,431 </w:t>
            </w:r>
          </w:p>
        </w:tc>
        <w:tc>
          <w:tcPr>
            <w:tcW w:w="3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47,389 </w:t>
            </w:r>
          </w:p>
        </w:tc>
        <w:tc>
          <w:tcPr>
            <w:tcW w:w="6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expense was $2.4 million and $4.7 million in the three and six months ended June 30, 2026, respectively, and $2.3 million and $4.3 million in the three and six months ended June 30, 2025,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6. Intangible Assets, Net </w:t>
      </w:r>
    </w:p>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components of the Company’s intangible assets, net ($ in thousands):</w:t>
      </w:r>
    </w:p>
    <w:tbl>
      <w:tblPr>
        <w:tblW w:w="10205" w:type="dxa"/>
        <w:jc w:val="left"/>
        <w:tblInd w:w="0" w:type="dxa"/>
        <w:tblLayout w:type="fixed"/>
        <w:tblCellMar>
          <w:top w:w="28" w:type="dxa"/>
          <w:left w:w="28" w:type="dxa"/>
          <w:bottom w:w="28" w:type="dxa"/>
          <w:right w:w="28" w:type="dxa"/>
        </w:tblCellMar>
      </w:tblPr>
      <w:tblGrid>
        <w:gridCol w:w="610"/>
        <w:gridCol w:w="520"/>
        <w:gridCol w:w="523"/>
        <w:gridCol w:w="598"/>
        <w:gridCol w:w="405"/>
        <w:gridCol w:w="406"/>
        <w:gridCol w:w="500"/>
        <w:gridCol w:w="491"/>
        <w:gridCol w:w="492"/>
        <w:gridCol w:w="491"/>
        <w:gridCol w:w="361"/>
        <w:gridCol w:w="362"/>
        <w:gridCol w:w="109"/>
        <w:gridCol w:w="109"/>
        <w:gridCol w:w="109"/>
        <w:gridCol w:w="535"/>
        <w:gridCol w:w="405"/>
        <w:gridCol w:w="406"/>
        <w:gridCol w:w="500"/>
        <w:gridCol w:w="491"/>
        <w:gridCol w:w="492"/>
        <w:gridCol w:w="466"/>
        <w:gridCol w:w="348"/>
        <w:gridCol w:w="476"/>
      </w:tblGrid>
      <w:tr>
        <w:trPr/>
        <w:tc>
          <w:tcPr>
            <w:tcW w:w="61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14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12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14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12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Carrying Value</w:t>
            </w:r>
          </w:p>
        </w:tc>
      </w:tr>
      <w:tr>
        <w:trPr/>
        <w:tc>
          <w:tcPr>
            <w:tcW w:w="1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Finite-lived intangible assets</w:t>
            </w:r>
          </w:p>
        </w:tc>
        <w:tc>
          <w:tcPr>
            <w:tcW w:w="14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products (i)</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96,523 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(11,511)</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85,012 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83,203 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(8,056)</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75,147 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4,576 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(3,814)</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4,461 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(3,464)</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1003"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101,099</w:t>
            </w:r>
            <w:r>
              <w:rPr>
                <w:color w:val="000000"/>
              </w:rPr>
              <w:t> </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(15,325)</w:t>
            </w:r>
          </w:p>
        </w:tc>
        <w:tc>
          <w:tcPr>
            <w:tcW w:w="4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85,774</w:t>
            </w:r>
            <w:r>
              <w:rPr>
                <w:color w:val="000000"/>
              </w:rPr>
              <w:t> </w:t>
            </w:r>
          </w:p>
        </w:tc>
        <w:tc>
          <w:tcPr>
            <w:tcW w:w="3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87,664</w:t>
            </w:r>
            <w:r>
              <w:rPr>
                <w:color w:val="000000"/>
              </w:rPr>
              <w:t> </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(11,520)</w:t>
            </w:r>
          </w:p>
        </w:tc>
        <w:tc>
          <w:tcPr>
            <w:tcW w:w="4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76,144</w:t>
            </w:r>
            <w:r>
              <w:rPr>
                <w:color w:val="000000"/>
              </w:rPr>
              <w:t> </w:t>
            </w:r>
          </w:p>
        </w:tc>
        <w:tc>
          <w:tcPr>
            <w:tcW w:w="4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Zai Lab Limited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p>
      <w:pPr>
        <w:pStyle w:val="TextBody"/>
        <w:bidi w:val="0"/>
        <w:spacing w:lineRule="auto" w:line="288" w:before="180" w:after="283"/>
        <w:jc w:val="left"/>
        <w:rPr/>
      </w:pPr>
      <w:r>
        <w:rPr>
          <w:rFonts w:ascii="Times New Roman;serif" w:hAnsi="Times New Roman;serif"/>
          <w:b w:val="false"/>
          <w:color w:val="000000"/>
          <w:sz w:val="20"/>
        </w:rPr>
        <w:t>(i) The increase in the net carrying value is primarily driven by $10.0 million of regulatory milestone fees for Tisotumab Vedotin (</w:t>
      </w:r>
      <w:r>
        <w:rPr>
          <w:rFonts w:ascii="Times New Roman;serif" w:hAnsi="Times New Roman;serif"/>
          <w:b w:val="false"/>
          <w:i/>
          <w:color w:val="000000"/>
          <w:sz w:val="20"/>
        </w:rPr>
        <w:t>see Note 14</w:t>
      </w:r>
      <w:r>
        <w:rPr>
          <w:rFonts w:ascii="Times New Roman;serif" w:hAnsi="Times New Roman;serif"/>
          <w:b w:val="false"/>
          <w:color w:val="000000"/>
          <w:sz w:val="20"/>
        </w:rPr>
        <w:t xml:space="preserve">). </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Intangible assets for commercial products include capitalized post-approval milestone fees and acquired commercial manufacturing know-how and related development costs. The Company is amortizing intangible assets for commercial products as cost of product revenue over the estimated remaining useful life of the related products. Intangible assets for externally purchased software are amortized over three to five years on a straight-line basis.</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Amortization expense was $1.8 million and $3.4 million in the three and six months ended June 30, 2026, respectively, and $1.5 million and $2.9 million in the three and six months ended June 30, 2025, respectively. The weighted-average remaining amortization period for intangible assets for commercial products and software was 8.7 years and 2.0 years,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7. Revenues </w:t>
      </w:r>
    </w:p>
    <w:p>
      <w:pPr>
        <w:pStyle w:val="TextBody"/>
        <w:bidi w:val="0"/>
        <w:spacing w:lineRule="auto" w:line="333" w:before="180" w:after="283"/>
        <w:jc w:val="left"/>
        <w:rPr>
          <w:rFonts w:ascii="Times New Roman;serif" w:hAnsi="Times New Roman;serif"/>
          <w:b/>
          <w:i/>
          <w:color w:val="000000"/>
          <w:sz w:val="20"/>
        </w:rPr>
      </w:pPr>
      <w:r>
        <w:rPr>
          <w:rFonts w:ascii="Times New Roman;serif" w:hAnsi="Times New Roman;serif"/>
          <w:b/>
          <w:i/>
          <w:color w:val="000000"/>
          <w:sz w:val="20"/>
        </w:rPr>
        <w:t xml:space="preserve">Product Revenue, Net </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Company’s product revenue is derived from the sales of its commercial products in Greater China. The table below presents the Company’s gross and net product revenue ($ in thousands):</w:t>
      </w:r>
    </w:p>
    <w:tbl>
      <w:tblPr>
        <w:tblW w:w="8942" w:type="dxa"/>
        <w:jc w:val="left"/>
        <w:tblInd w:w="0" w:type="dxa"/>
        <w:tblLayout w:type="fixed"/>
        <w:tblCellMar>
          <w:top w:w="28" w:type="dxa"/>
          <w:left w:w="28" w:type="dxa"/>
          <w:bottom w:w="28" w:type="dxa"/>
          <w:right w:w="28" w:type="dxa"/>
        </w:tblCellMar>
      </w:tblPr>
      <w:tblGrid>
        <w:gridCol w:w="944"/>
        <w:gridCol w:w="831"/>
        <w:gridCol w:w="835"/>
        <w:gridCol w:w="573"/>
        <w:gridCol w:w="271"/>
        <w:gridCol w:w="271"/>
        <w:gridCol w:w="271"/>
        <w:gridCol w:w="271"/>
        <w:gridCol w:w="271"/>
        <w:gridCol w:w="573"/>
        <w:gridCol w:w="271"/>
        <w:gridCol w:w="271"/>
        <w:gridCol w:w="109"/>
        <w:gridCol w:w="109"/>
        <w:gridCol w:w="109"/>
        <w:gridCol w:w="559"/>
        <w:gridCol w:w="267"/>
        <w:gridCol w:w="242"/>
        <w:gridCol w:w="242"/>
        <w:gridCol w:w="242"/>
        <w:gridCol w:w="242"/>
        <w:gridCol w:w="559"/>
        <w:gridCol w:w="267"/>
        <w:gridCol w:w="342"/>
      </w:tblGrid>
      <w:tr>
        <w:trPr/>
        <w:tc>
          <w:tcPr>
            <w:tcW w:w="94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8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610"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 - gross</w:t>
            </w:r>
          </w:p>
        </w:tc>
        <w:tc>
          <w:tcPr>
            <w:tcW w:w="8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113,675 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116,530 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215,929 </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228,863 </w:t>
            </w:r>
          </w:p>
        </w:tc>
        <w:tc>
          <w:tcPr>
            <w:tcW w:w="3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Rebates and sales returns</w:t>
            </w:r>
          </w:p>
        </w:tc>
        <w:tc>
          <w:tcPr>
            <w:tcW w:w="84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(7,924)</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(7,445)</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(14,622)</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(14,128)</w:t>
            </w:r>
          </w:p>
        </w:tc>
        <w:tc>
          <w:tcPr>
            <w:tcW w:w="342"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 - net</w:t>
            </w:r>
          </w:p>
        </w:tc>
        <w:tc>
          <w:tcPr>
            <w:tcW w:w="844"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105,751 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109,085 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201,307 </w:t>
            </w:r>
          </w:p>
        </w:tc>
        <w:tc>
          <w:tcPr>
            <w:tcW w:w="2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214,735 </w:t>
            </w:r>
          </w:p>
        </w:tc>
        <w:tc>
          <w:tcPr>
            <w:tcW w:w="3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Sales rebates are offered to distributors in mainland China, and the amounts are recorded as a reduction of product revenue. Estimated rebates are determined based on contracted rates, sales volumes, and level of distributor inventories. </w:t>
      </w:r>
    </w:p>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Company’s net revenue by commercial program ($ in thousands): </w:t>
      </w:r>
    </w:p>
    <w:tbl>
      <w:tblPr>
        <w:tblW w:w="9135" w:type="dxa"/>
        <w:jc w:val="left"/>
        <w:tblInd w:w="0" w:type="dxa"/>
        <w:tblLayout w:type="fixed"/>
        <w:tblCellMar>
          <w:top w:w="28" w:type="dxa"/>
          <w:left w:w="28" w:type="dxa"/>
          <w:bottom w:w="28" w:type="dxa"/>
          <w:right w:w="28" w:type="dxa"/>
        </w:tblCellMar>
      </w:tblPr>
      <w:tblGrid>
        <w:gridCol w:w="1014"/>
        <w:gridCol w:w="893"/>
        <w:gridCol w:w="898"/>
        <w:gridCol w:w="572"/>
        <w:gridCol w:w="271"/>
        <w:gridCol w:w="271"/>
        <w:gridCol w:w="271"/>
        <w:gridCol w:w="271"/>
        <w:gridCol w:w="271"/>
        <w:gridCol w:w="572"/>
        <w:gridCol w:w="271"/>
        <w:gridCol w:w="271"/>
        <w:gridCol w:w="109"/>
        <w:gridCol w:w="109"/>
        <w:gridCol w:w="109"/>
        <w:gridCol w:w="559"/>
        <w:gridCol w:w="267"/>
        <w:gridCol w:w="242"/>
        <w:gridCol w:w="242"/>
        <w:gridCol w:w="242"/>
        <w:gridCol w:w="242"/>
        <w:gridCol w:w="559"/>
        <w:gridCol w:w="267"/>
        <w:gridCol w:w="342"/>
      </w:tblGrid>
      <w:tr>
        <w:trPr/>
        <w:tc>
          <w:tcPr>
            <w:tcW w:w="101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8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ZEJULA</w:t>
            </w:r>
          </w:p>
        </w:tc>
        <w:tc>
          <w:tcPr>
            <w:tcW w:w="8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32,079 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41,042 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62,046 </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90,571 </w:t>
            </w:r>
          </w:p>
        </w:tc>
        <w:tc>
          <w:tcPr>
            <w:tcW w:w="3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VYVGART / VYVGART Hytrulo</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23,866 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26,497 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41,417 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44,602 </w:t>
            </w:r>
          </w:p>
        </w:tc>
        <w:tc>
          <w:tcPr>
            <w:tcW w:w="342"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NUZYRA</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17,097 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14,292 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33,359 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29,410 </w:t>
            </w:r>
          </w:p>
        </w:tc>
        <w:tc>
          <w:tcPr>
            <w:tcW w:w="342"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OPTUNE</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12,355 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24,272 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23,718 </w:t>
            </w:r>
          </w:p>
        </w:tc>
        <w:tc>
          <w:tcPr>
            <w:tcW w:w="342"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QINLOCK</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9,590 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18,575 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17,045 </w:t>
            </w:r>
          </w:p>
        </w:tc>
        <w:tc>
          <w:tcPr>
            <w:tcW w:w="342"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XACDURO</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16,529 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5,739 </w:t>
            </w:r>
          </w:p>
        </w:tc>
        <w:tc>
          <w:tcPr>
            <w:tcW w:w="342"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AUGTYRO</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4,005 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3,025 </w:t>
            </w:r>
          </w:p>
        </w:tc>
        <w:tc>
          <w:tcPr>
            <w:tcW w:w="342"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KarXT</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342"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 - net</w:t>
            </w:r>
          </w:p>
        </w:tc>
        <w:tc>
          <w:tcPr>
            <w:tcW w:w="843"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105,751 </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109,085 </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201,307 </w:t>
            </w:r>
          </w:p>
        </w:tc>
        <w:tc>
          <w:tcPr>
            <w:tcW w:w="2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214,735 </w:t>
            </w:r>
          </w:p>
        </w:tc>
        <w:tc>
          <w:tcPr>
            <w:tcW w:w="3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18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(i)Other includes product candidates sold in patient programs prior to commercialization.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Zai Lab Limited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Collaboration Revenue </w:t>
      </w:r>
    </w:p>
    <w:p>
      <w:pPr>
        <w:pStyle w:val="TextBody"/>
        <w:bidi w:val="0"/>
        <w:spacing w:lineRule="auto" w:line="333" w:before="180" w:after="283"/>
        <w:ind w:left="0" w:right="0" w:firstLine="540"/>
        <w:jc w:val="left"/>
        <w:rPr/>
      </w:pPr>
      <w:r>
        <w:rPr>
          <w:rFonts w:ascii="Times New Roman;serif" w:hAnsi="Times New Roman;serif"/>
          <w:b w:val="false"/>
          <w:color w:val="000000"/>
          <w:sz w:val="20"/>
        </w:rPr>
        <w:t>Collaboration revenue was $0.6 million and $4.6 million in the three and six months ended June 30, 2026 and $0.9 million and $1.7 million in the three and six months ended June 30, 2025, respectively, and mainly related</w:t>
      </w:r>
      <w:r>
        <w:rPr>
          <w:color w:val="000000"/>
          <w:shd w:fill="FFFFFF" w:val="clear"/>
        </w:rPr>
        <w:t xml:space="preserve"> </w:t>
      </w:r>
      <w:r>
        <w:rPr>
          <w:rFonts w:ascii="Times New Roman;serif" w:hAnsi="Times New Roman;serif"/>
          <w:b w:val="false"/>
          <w:color w:val="000000"/>
          <w:sz w:val="20"/>
          <w:shd w:fill="FFFFFF" w:val="clear"/>
        </w:rPr>
        <w:t>to a regional license and collaboration arrangement and promotional activities in mainland China.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8. Income Tax </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Income tax benefit was $1.0 million in the three months ended June 30, 2026 primarily due to the deferred tax assets recognized related to the inventory provision as of June 30, 2026. Income tax expense was $0.4 million in the six months ended June 30, 2026 attributable to taxable income in certain Chinese entities. Income tax expense was nil in both the three and six months ended June 30, 2025 as the Company’s subsidiaries were in cumulative loss positions.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9. Loss Per Share </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computation of the basic and diluted net loss per share ($ in thousands, except share and per share data):</w:t>
      </w:r>
    </w:p>
    <w:tbl>
      <w:tblPr>
        <w:tblW w:w="10205" w:type="dxa"/>
        <w:jc w:val="left"/>
        <w:tblInd w:w="0" w:type="dxa"/>
        <w:tblLayout w:type="fixed"/>
        <w:tblCellMar>
          <w:top w:w="28" w:type="dxa"/>
          <w:left w:w="28" w:type="dxa"/>
          <w:bottom w:w="28" w:type="dxa"/>
          <w:right w:w="28" w:type="dxa"/>
        </w:tblCellMar>
      </w:tblPr>
      <w:tblGrid>
        <w:gridCol w:w="1036"/>
        <w:gridCol w:w="912"/>
        <w:gridCol w:w="924"/>
        <w:gridCol w:w="927"/>
        <w:gridCol w:w="409"/>
        <w:gridCol w:w="164"/>
        <w:gridCol w:w="164"/>
        <w:gridCol w:w="164"/>
        <w:gridCol w:w="164"/>
        <w:gridCol w:w="927"/>
        <w:gridCol w:w="409"/>
        <w:gridCol w:w="164"/>
        <w:gridCol w:w="109"/>
        <w:gridCol w:w="109"/>
        <w:gridCol w:w="109"/>
        <w:gridCol w:w="905"/>
        <w:gridCol w:w="431"/>
        <w:gridCol w:w="154"/>
        <w:gridCol w:w="154"/>
        <w:gridCol w:w="154"/>
        <w:gridCol w:w="154"/>
        <w:gridCol w:w="903"/>
        <w:gridCol w:w="433"/>
        <w:gridCol w:w="226"/>
      </w:tblGrid>
      <w:tr>
        <w:trPr/>
        <w:tc>
          <w:tcPr>
            <w:tcW w:w="103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2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872"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28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8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loss </w:t>
            </w:r>
          </w:p>
        </w:tc>
        <w:tc>
          <w:tcPr>
            <w:tcW w:w="133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(50,825)</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(40,727)</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(101,841)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(89,165)</w:t>
            </w:r>
          </w:p>
        </w:tc>
        <w:tc>
          <w:tcPr>
            <w:tcW w:w="226"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8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8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ordinary shares - basic and diluted</w:t>
            </w:r>
          </w:p>
        </w:tc>
        <w:tc>
          <w:tcPr>
            <w:tcW w:w="133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1,116,973,380 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1,091,933,150 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1,112,208,460 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1,086,413,130 </w:t>
            </w:r>
          </w:p>
        </w:tc>
        <w:tc>
          <w:tcPr>
            <w:tcW w:w="226"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8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 basic and diluted</w:t>
            </w:r>
          </w:p>
        </w:tc>
        <w:tc>
          <w:tcPr>
            <w:tcW w:w="133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(0.09)</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a result of the Company’s net loss in the three and six months ended June 30, 2026 and 2025, share options and non-vested restricted shares outstanding in the respective periods were excluded from the calculation of diluted loss per share as their inclusion would have been anti-dilutive.</w:t>
      </w:r>
    </w:p>
    <w:tbl>
      <w:tblPr>
        <w:tblW w:w="5240" w:type="dxa"/>
        <w:jc w:val="left"/>
        <w:tblInd w:w="0" w:type="dxa"/>
        <w:tblLayout w:type="fixed"/>
        <w:tblCellMar>
          <w:top w:w="28" w:type="dxa"/>
          <w:left w:w="28" w:type="dxa"/>
          <w:bottom w:w="28" w:type="dxa"/>
          <w:right w:w="28" w:type="dxa"/>
        </w:tblCellMar>
      </w:tblPr>
      <w:tblGrid>
        <w:gridCol w:w="861"/>
        <w:gridCol w:w="759"/>
        <w:gridCol w:w="764"/>
        <w:gridCol w:w="540"/>
        <w:gridCol w:w="541"/>
        <w:gridCol w:w="156"/>
        <w:gridCol w:w="109"/>
        <w:gridCol w:w="109"/>
        <w:gridCol w:w="109"/>
        <w:gridCol w:w="540"/>
        <w:gridCol w:w="541"/>
        <w:gridCol w:w="211"/>
      </w:tblGrid>
      <w:tr>
        <w:trPr/>
        <w:tc>
          <w:tcPr>
            <w:tcW w:w="861"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Share options</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75,656,090 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92,521,370 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restricted shares</w:t>
            </w:r>
          </w:p>
        </w:tc>
        <w:tc>
          <w:tcPr>
            <w:tcW w:w="10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23,976,330 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26,743,120 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Zai Lab Limited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10. Borrowings</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debt arrangements with the Bank of China, SPD Bank, CMB, BOCOM, Ningbo Bank, and CIB to support its working capital needs in mainland China. The following table presents the Company’s short-term debt and weighted-average interest rate per annum ($ in thousands): </w:t>
      </w:r>
    </w:p>
    <w:tbl>
      <w:tblPr>
        <w:tblW w:w="8873" w:type="dxa"/>
        <w:jc w:val="left"/>
        <w:tblInd w:w="0" w:type="dxa"/>
        <w:tblLayout w:type="fixed"/>
        <w:tblCellMar>
          <w:top w:w="28" w:type="dxa"/>
          <w:left w:w="28" w:type="dxa"/>
          <w:bottom w:w="28" w:type="dxa"/>
          <w:right w:w="28" w:type="dxa"/>
        </w:tblCellMar>
      </w:tblPr>
      <w:tblGrid>
        <w:gridCol w:w="1502"/>
        <w:gridCol w:w="1324"/>
        <w:gridCol w:w="1329"/>
        <w:gridCol w:w="255"/>
        <w:gridCol w:w="256"/>
        <w:gridCol w:w="274"/>
        <w:gridCol w:w="110"/>
        <w:gridCol w:w="110"/>
        <w:gridCol w:w="110"/>
        <w:gridCol w:w="412"/>
        <w:gridCol w:w="414"/>
        <w:gridCol w:w="110"/>
        <w:gridCol w:w="109"/>
        <w:gridCol w:w="109"/>
        <w:gridCol w:w="109"/>
        <w:gridCol w:w="255"/>
        <w:gridCol w:w="256"/>
        <w:gridCol w:w="362"/>
        <w:gridCol w:w="145"/>
        <w:gridCol w:w="145"/>
        <w:gridCol w:w="145"/>
        <w:gridCol w:w="412"/>
        <w:gridCol w:w="414"/>
        <w:gridCol w:w="206"/>
      </w:tblGrid>
      <w:tr>
        <w:trPr/>
        <w:tc>
          <w:tcPr>
            <w:tcW w:w="1502"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9"/>
            <w:tcBorders/>
            <w:tcMar>
              <w:top w:w="0" w:type="dxa"/>
              <w:left w:w="0" w:type="dxa"/>
              <w:bottom w:w="0" w:type="dxa"/>
              <w:right w:w="0" w:type="dxa"/>
            </w:tcMar>
            <w:vAlign w:val="center"/>
          </w:tcPr>
          <w:p>
            <w:pPr>
              <w:pStyle w:val="TableContents"/>
              <w:bidi w:val="0"/>
              <w:spacing w:lineRule="auto" w:line="240" w:before="0" w:after="283"/>
              <w:ind w:left="0" w:right="0" w:hanging="200"/>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20"/>
              </w:rPr>
            </w:pPr>
            <w:r>
              <w:rPr>
                <w:rFonts w:ascii="Times New Roman;serif" w:hAnsi="Times New Roman;serif"/>
                <w:b w:val="false"/>
                <w:color w:val="000000"/>
                <w:sz w:val="20"/>
              </w:rPr>
              <w:t>Bank of China Working Capital Loans</w:t>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62,400 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3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69,427 </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20"/>
              </w:rPr>
            </w:pPr>
            <w:r>
              <w:rPr>
                <w:rFonts w:ascii="Times New Roman;serif" w:hAnsi="Times New Roman;serif"/>
                <w:b w:val="false"/>
                <w:color w:val="000000"/>
                <w:sz w:val="20"/>
              </w:rPr>
              <w:t>SPD Bank Working Capital Loans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27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22,024 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28,454 </w:t>
            </w:r>
          </w:p>
        </w:tc>
        <w:tc>
          <w:tcPr>
            <w:tcW w:w="20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20"/>
              </w:rPr>
            </w:pPr>
            <w:r>
              <w:rPr>
                <w:rFonts w:ascii="Times New Roman;serif" w:hAnsi="Times New Roman;serif"/>
                <w:b w:val="false"/>
                <w:color w:val="000000"/>
                <w:sz w:val="20"/>
              </w:rPr>
              <w:t>China Merchants Bank Working Capital Loans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27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58,730 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36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42,683 </w:t>
            </w:r>
          </w:p>
        </w:tc>
        <w:tc>
          <w:tcPr>
            <w:tcW w:w="20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20"/>
              </w:rPr>
            </w:pPr>
            <w:r>
              <w:rPr>
                <w:rFonts w:ascii="Times New Roman;serif" w:hAnsi="Times New Roman;serif"/>
                <w:b w:val="false"/>
                <w:color w:val="000000"/>
                <w:sz w:val="20"/>
              </w:rPr>
              <w:t>Bank of Communications Working Capital Loans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27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44,047 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42,682 </w:t>
            </w:r>
          </w:p>
        </w:tc>
        <w:tc>
          <w:tcPr>
            <w:tcW w:w="20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20"/>
              </w:rPr>
            </w:pPr>
            <w:r>
              <w:rPr>
                <w:rFonts w:ascii="Times New Roman;serif" w:hAnsi="Times New Roman;serif"/>
                <w:b w:val="false"/>
                <w:color w:val="000000"/>
                <w:sz w:val="20"/>
              </w:rPr>
              <w:t>Ningbo Bank Discounted Bills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27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6,856 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36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7,057 </w:t>
            </w:r>
          </w:p>
        </w:tc>
        <w:tc>
          <w:tcPr>
            <w:tcW w:w="20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 Bank Working Capital Loans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27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44,047 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14,227 </w:t>
            </w:r>
          </w:p>
        </w:tc>
        <w:tc>
          <w:tcPr>
            <w:tcW w:w="20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debt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27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238,104 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36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204,530 </w:t>
            </w:r>
          </w:p>
        </w:tc>
        <w:tc>
          <w:tcPr>
            <w:tcW w:w="2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18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Bank of China Working Capital Loan Facility</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has an uncommitted facility letter with the Bank of China (Hong Kong) Limited (“BOC HK”) pursuant to which BOC HK will provide standby letters of credit in favor of the Bank of China Pudong Development Zone Branch (“BOC Pudong Branch”) for loans of up to $100.0 million, which are or may become payable by the Company’s wholly-owned subsidiary, Zai Lab (Shanghai) Co., Ltd. (“Zai Lab Shanghai”). BOC HK and BOC Pudong Branch are collectively referred to as Bank of China. In accordance with this agreement, the Company also maintained restricted deposits of $100.0 million, which are presented as restricted cash-current on the unaudited condensed consolidated balance sheet, to secure the standby letters of credit. Each working capital loan has a one-year term and is subject to a floating interest rate, which is subject to adjustment every six months.</w:t>
      </w:r>
    </w:p>
    <w:p>
      <w:pPr>
        <w:pStyle w:val="TextBody"/>
        <w:bidi w:val="0"/>
        <w:spacing w:lineRule="auto" w:line="333" w:before="18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SPD Bank Working Capital Loan Facility</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February 2024, the Company entered into a maximum-amount guarantee contract with the Shanghai Pudong Development Bank Co., Ltd. Zhangjiang Hi-Tech Park Sub-Branch (“SPD Bank”) pursuant to which the Company will guarantee working capital loans of up to RMB300.0 million (approximately $42.0 million) from SPD Bank to Zai Lab Shanghai over a three-year period. Each working capital loan has a one-year term and is subject to a fixed interest rate.</w:t>
      </w:r>
    </w:p>
    <w:p>
      <w:pPr>
        <w:pStyle w:val="TextBody"/>
        <w:bidi w:val="0"/>
        <w:spacing w:lineRule="auto" w:line="333" w:before="18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China Merchants Bank Working Capital Loan Facility</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August 2025, the Company issued a maximum-amount irrevocable letter of guarantee to China Merchants Bank Co., Ltd., Shanghai Branch (“CMB”) pursuant to which the Company will guarantee working capital loans of up to RMB500.0 million (approximately $69.6 million) from CMB to Zai Lab Shanghai, and Zai Lab Shanghai entered into a Credit Agreement with CMB with respect to the RMB500.0 million facility. The guarantee and credit facility include the outstanding working capital loans with CMB. The credit facility will be available for two years. Each working capital loan has a one-year term and is subject to a floating interest rate, which is subject to adjustment every three months.</w:t>
      </w:r>
    </w:p>
    <w:p>
      <w:pPr>
        <w:pStyle w:val="TextBody"/>
        <w:bidi w:val="0"/>
        <w:spacing w:lineRule="auto" w:line="333" w:before="18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Bank of Communications Working Capital Loan Facility</w:t>
      </w:r>
    </w:p>
    <w:p>
      <w:pPr>
        <w:pStyle w:val="TextBody"/>
        <w:bidi w:val="0"/>
        <w:spacing w:lineRule="auto" w:line="333"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January 2025, the Company entered into a guarantee contract with Bank of Communications Co., Ltd. Shanghai Zhangjiang Sub-Branch (“BOCOM”) pursuant to which the Company will guarantee working capital loans from BOCOM to Zai Lab Shanghai, and Zai Lab Shanghai entered into a working capital loan contract with BOCOM with respect to a revolving credit facility of up to RMB300.0 million (approximately $41.1 million). The credit facility expired in September 2025. In February 2026, the Company entered into a new revolving credit facility with BOCOM that will expire in February 2029, which replaced its previous RMB300.0 million (approximately $41.1 million) credit facility.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Zai Lab Limited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p>
      <w:pPr>
        <w:pStyle w:val="TextBody"/>
        <w:bidi w:val="0"/>
        <w:spacing w:lineRule="auto" w:line="333" w:before="180" w:after="283"/>
        <w:jc w:val="both"/>
        <w:rPr>
          <w:rFonts w:ascii="Times New Roman;serif" w:hAnsi="Times New Roman;serif"/>
          <w:b w:val="false"/>
          <w:color w:val="000000"/>
          <w:sz w:val="20"/>
        </w:rPr>
      </w:pPr>
      <w:r>
        <w:rPr>
          <w:rFonts w:ascii="Times New Roman;serif" w:hAnsi="Times New Roman;serif"/>
          <w:b w:val="false"/>
          <w:color w:val="000000"/>
          <w:sz w:val="20"/>
        </w:rPr>
        <w:t>entered into a new guarantee contract with BOCOM pursuant to which the Company will provide a maximum-amount guarantee of RMB330.0 million (approximately $47.9 million) for working capital loans of up to RMB300.0 million (approximately $43.6 million) from BOCOM to Zai Lab Shanghai, and Zai Lab Shanghai entered into a working capital loan contract with BOCOM with respect to the RMB300.0 million facility. Each working capital loan has a one-year term and is subject to a floating interest rate, which is subject to adjustment every three months.</w:t>
      </w:r>
    </w:p>
    <w:p>
      <w:pPr>
        <w:pStyle w:val="TextBody"/>
        <w:bidi w:val="0"/>
        <w:spacing w:lineRule="auto" w:line="333" w:before="18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Ningbo Bank Working Capital Loan Facility</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February 2024, the Company’s wholly-owned subsidiary, Zai Lab (Suzhou) Co., Ltd. (“Zai Lab Suzhou”), entered into a maximum credit contract with Bank of Ningbo Co., Ltd. Suzhou Sub-branch (“Ningbo Bank”) as well as an Electronic Commercial Draft Discounting Master Agreement and Online Working Capital Loan Master Agreement (collectively, the “Ningbo Bank Agreements”). The Ningbo Bank Agreements permit Zai Lab Suzhou to utilize, including through discounting or working capital loan agreements and subject to the terms and conditions in related master agreements, up to RMB230.3 million (approximately $32.4 million), of which Zai Lab Suzhou is authorized to utilize up to RMB160.0 million (approximately $22.5 million). The cash proceeds from the discounting arrangement were classified as short-term debt. Each discounted bill has a 6-month term.</w:t>
      </w:r>
    </w:p>
    <w:p>
      <w:pPr>
        <w:pStyle w:val="TextBody"/>
        <w:bidi w:val="0"/>
        <w:spacing w:lineRule="auto" w:line="333" w:before="18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Industrial Bank Working Capital Loans</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October 13, 2025, the Company entered into a maximum amount guarantee contract with Industrial Bank Co., Ltd., Shanghai Gubei Branch (“CIB”) pursuant to which the Company will guarantee working capital loans of up to RMB300.0 million (approximately $42.1 million) from CIB to its wholly-owned subsidiary, Zai Lab Shanghai, and Zai Lab Shanghai entered into a credit line contract with CIB with respect to the RMB300.0 million revolving credit facility. The credit facility will be available until May 5, 2026. Each working capital loan has a one-year term and is subject to a fixed interest 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11. Other Current Liabilities </w:t>
      </w:r>
    </w:p>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other current liabilities ($ in thousands):</w:t>
      </w:r>
    </w:p>
    <w:tbl>
      <w:tblPr>
        <w:tblW w:w="7150" w:type="dxa"/>
        <w:jc w:val="left"/>
        <w:tblInd w:w="0" w:type="dxa"/>
        <w:tblLayout w:type="fixed"/>
        <w:tblCellMar>
          <w:top w:w="28" w:type="dxa"/>
          <w:left w:w="28" w:type="dxa"/>
          <w:bottom w:w="28" w:type="dxa"/>
          <w:right w:w="28" w:type="dxa"/>
        </w:tblCellMar>
      </w:tblPr>
      <w:tblGrid>
        <w:gridCol w:w="1475"/>
        <w:gridCol w:w="1298"/>
        <w:gridCol w:w="1306"/>
        <w:gridCol w:w="384"/>
        <w:gridCol w:w="384"/>
        <w:gridCol w:w="386"/>
        <w:gridCol w:w="109"/>
        <w:gridCol w:w="109"/>
        <w:gridCol w:w="109"/>
        <w:gridCol w:w="465"/>
        <w:gridCol w:w="465"/>
        <w:gridCol w:w="660"/>
      </w:tblGrid>
      <w:tr>
        <w:trPr/>
        <w:tc>
          <w:tcPr>
            <w:tcW w:w="1475"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w:t>
            </w:r>
          </w:p>
        </w:tc>
        <w:tc>
          <w:tcPr>
            <w:tcW w:w="7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23,762 </w:t>
            </w:r>
          </w:p>
        </w:tc>
        <w:tc>
          <w:tcPr>
            <w:tcW w:w="3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28,485 </w:t>
            </w:r>
          </w:p>
        </w:tc>
        <w:tc>
          <w:tcPr>
            <w:tcW w:w="6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professional service fees</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4,330 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2,948 </w:t>
            </w:r>
          </w:p>
        </w:tc>
        <w:tc>
          <w:tcPr>
            <w:tcW w:w="660"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Payables for purchase of property and equipment</w:t>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660"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rebate to distributors</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13,432 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19,388 </w:t>
            </w:r>
          </w:p>
        </w:tc>
        <w:tc>
          <w:tcPr>
            <w:tcW w:w="660"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Tax payables</w:t>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4,017 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5,303 </w:t>
            </w:r>
          </w:p>
        </w:tc>
        <w:tc>
          <w:tcPr>
            <w:tcW w:w="660"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2,820 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7,074 </w:t>
            </w:r>
          </w:p>
        </w:tc>
        <w:tc>
          <w:tcPr>
            <w:tcW w:w="660"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76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48,763 </w:t>
            </w:r>
          </w:p>
        </w:tc>
        <w:tc>
          <w:tcPr>
            <w:tcW w:w="3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63,684 </w:t>
            </w:r>
          </w:p>
        </w:tc>
        <w:tc>
          <w:tcPr>
            <w:tcW w:w="6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(i)Other primarily includes accrued travel, business-related expenses, and advance payments from partners.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12. Related Party Transactions </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January 2025, the Company entered into a license agreement with Zenas BioPharma (HK) Limited, a subsidiary of Zenas BioPharma, Inc. (“Zenas”), pursuant to which the Company obtained a license under certain patents and know-how of Zenas to develop and commercialize products containing a differentiated humanized monoclonal antibody targeting IGF-1R as an active ingredient in Greater China. One of the members of the Company’s Board of Directors, Mr. Moulder, is also the Chairman of the Board of Directors and Chief Executive Officer of Zenas. The Company recorded a $10.0 million upfront fee into research and development expenses in the first quarter of 2025. As of June 30, 2026,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Zai Lab Limited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p>
      <w:pPr>
        <w:pStyle w:val="TextBody"/>
        <w:bidi w:val="0"/>
        <w:spacing w:lineRule="auto" w:line="333" w:before="180" w:after="283"/>
        <w:jc w:val="left"/>
        <w:rPr>
          <w:rFonts w:ascii="Times New Roman;serif" w:hAnsi="Times New Roman;serif"/>
          <w:b w:val="false"/>
          <w:color w:val="000000"/>
          <w:sz w:val="20"/>
        </w:rPr>
      </w:pPr>
      <w:r>
        <w:rPr>
          <w:rFonts w:ascii="Times New Roman;serif" w:hAnsi="Times New Roman;serif"/>
          <w:b w:val="false"/>
          <w:color w:val="000000"/>
          <w:sz w:val="20"/>
        </w:rPr>
        <w:t>may be required to pay an additional aggregate amount of up to $117.0 million in development and sales-based milestones as well as certain royalties at tiered percentage rates ranging from high-single digits to mid-teens on annual net sales of the licensed products in the licensed territories.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13. Share-Based Compensation</w:t>
      </w:r>
    </w:p>
    <w:p>
      <w:pPr>
        <w:pStyle w:val="TextBody"/>
        <w:bidi w:val="0"/>
        <w:spacing w:lineRule="auto" w:line="333" w:before="180" w:after="283"/>
        <w:ind w:left="0" w:right="0" w:firstLine="540"/>
        <w:jc w:val="left"/>
        <w:rPr/>
      </w:pPr>
      <w:r>
        <w:rPr>
          <w:rFonts w:ascii="Times New Roman;serif" w:hAnsi="Times New Roman;serif"/>
          <w:b w:val="false"/>
          <w:color w:val="000000"/>
          <w:sz w:val="20"/>
        </w:rPr>
        <w:t xml:space="preserve">During the six months ended June 30, 2026, the Company granted share options to purchase up to 11,409,690 ordinary shares and restricted shares representing 11,691,310 ordinary shares under its equity incentive plans. The share options granted have a contractual term of ten years. Share options granted since April 2023 generally vest ratably over a four-year period, and share options granted prior to April 2023 generally vest ratably over a five-year period, with 25% or 20% of the awards vesting on each anniversary of the grant date, respectively, subject to continued employment/service with the Company on the vesting date. The restricted shares granted generally vest ratably over a specified period on the anniversary of the grant date, subject to continued employment/service with the Company on the vesting date. For a description of the Company’s equity incentive plans and more details on the terms of the share-based awards, see </w:t>
      </w:r>
      <w:r>
        <w:rPr>
          <w:rFonts w:ascii="Times New Roman;serif" w:hAnsi="Times New Roman;serif"/>
          <w:b w:val="false"/>
          <w:i/>
          <w:color w:val="000000"/>
          <w:sz w:val="20"/>
        </w:rPr>
        <w:t>Note 15</w:t>
      </w:r>
      <w:r>
        <w:rPr>
          <w:color w:val="000000"/>
        </w:rPr>
        <w:t xml:space="preserve"> </w:t>
      </w:r>
      <w:r>
        <w:rPr>
          <w:rFonts w:ascii="Times New Roman;serif" w:hAnsi="Times New Roman;serif"/>
          <w:b w:val="false"/>
          <w:color w:val="000000"/>
          <w:sz w:val="20"/>
        </w:rPr>
        <w:t>in the 2025 Annual Report</w:t>
      </w:r>
      <w:r>
        <w:rPr>
          <w:rFonts w:ascii="Times New Roman;serif" w:hAnsi="Times New Roman;serif"/>
          <w:b w:val="false"/>
          <w:i/>
          <w:color w:val="000000"/>
          <w:sz w:val="20"/>
        </w:rPr>
        <w:t>.</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also granted cash-settled performance-based restricted shares representing 1,169,170 ordinary shares under its equity incentive plans. These awards will vest on the third anniversary of the grant date and will be settled in cash based on value of the Company’s ordinary shares on the vesting date. These awards are accounted for as liability awards and their fair value is measured at the end of each reporting period. The related liability of $0.2 million is recorded in other non</w:t>
        <w:noBreakHyphen/>
        <w:t>current liabilities in the unaudited condensed consolidated balance sheet as of June 30, 2026, and the related compensation expense of $0.2 million was recorded in stock</w:t>
        <w:noBreakHyphen/>
        <w:t xml:space="preserve">based compensation in the unaudited condensed consolidated statements of operations in both the three and six months ended June 30, 2026. </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share-based compensation expense that has been reported in the Company’s unaudited condensed consolidated statements of operations and comprehensive loss as follows ($ in thousands):</w:t>
      </w:r>
    </w:p>
    <w:tbl>
      <w:tblPr>
        <w:tblW w:w="8948" w:type="dxa"/>
        <w:jc w:val="left"/>
        <w:tblInd w:w="0" w:type="dxa"/>
        <w:tblLayout w:type="fixed"/>
        <w:tblCellMar>
          <w:top w:w="28" w:type="dxa"/>
          <w:left w:w="28" w:type="dxa"/>
          <w:bottom w:w="28" w:type="dxa"/>
          <w:right w:w="28" w:type="dxa"/>
        </w:tblCellMar>
      </w:tblPr>
      <w:tblGrid>
        <w:gridCol w:w="1071"/>
        <w:gridCol w:w="941"/>
        <w:gridCol w:w="943"/>
        <w:gridCol w:w="499"/>
        <w:gridCol w:w="271"/>
        <w:gridCol w:w="271"/>
        <w:gridCol w:w="271"/>
        <w:gridCol w:w="271"/>
        <w:gridCol w:w="271"/>
        <w:gridCol w:w="500"/>
        <w:gridCol w:w="271"/>
        <w:gridCol w:w="271"/>
        <w:gridCol w:w="109"/>
        <w:gridCol w:w="109"/>
        <w:gridCol w:w="109"/>
        <w:gridCol w:w="488"/>
        <w:gridCol w:w="242"/>
        <w:gridCol w:w="242"/>
        <w:gridCol w:w="242"/>
        <w:gridCol w:w="242"/>
        <w:gridCol w:w="242"/>
        <w:gridCol w:w="488"/>
        <w:gridCol w:w="242"/>
        <w:gridCol w:w="342"/>
      </w:tblGrid>
      <w:tr>
        <w:trPr/>
        <w:tc>
          <w:tcPr>
            <w:tcW w:w="107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8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7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18,070 </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21,470 </w:t>
            </w:r>
          </w:p>
        </w:tc>
        <w:tc>
          <w:tcPr>
            <w:tcW w:w="3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7,620 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11,303 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77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12,126 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16,973 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25,690 </w:t>
            </w:r>
          </w:p>
        </w:tc>
        <w:tc>
          <w:tcPr>
            <w:tcW w:w="2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32,773 </w:t>
            </w:r>
          </w:p>
        </w:tc>
        <w:tc>
          <w:tcPr>
            <w:tcW w:w="3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14. License and Collaboration Agreements</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entered into various license and collaboration agreements with third parties to develop and commercialize product candidates. </w:t>
      </w:r>
    </w:p>
    <w:p>
      <w:pPr>
        <w:pStyle w:val="TextBody"/>
        <w:bidi w:val="0"/>
        <w:spacing w:lineRule="auto" w:line="333" w:before="1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Significant License and Collaboration Arrangements</w:t>
      </w:r>
    </w:p>
    <w:p>
      <w:pPr>
        <w:pStyle w:val="TextBody"/>
        <w:bidi w:val="0"/>
        <w:spacing w:lineRule="auto" w:line="333" w:before="180" w:after="283"/>
        <w:ind w:left="0" w:right="0" w:firstLine="540"/>
        <w:jc w:val="left"/>
        <w:rPr/>
      </w:pPr>
      <w:r>
        <w:rPr>
          <w:rFonts w:ascii="Times New Roman;serif" w:hAnsi="Times New Roman;serif"/>
          <w:b w:val="false"/>
          <w:color w:val="000000"/>
          <w:sz w:val="20"/>
        </w:rPr>
        <w:t xml:space="preserve">For a description of the material terms of the Company’s significant license and collaboration agreements, see </w:t>
      </w:r>
      <w:r>
        <w:rPr>
          <w:rFonts w:ascii="Times New Roman;serif" w:hAnsi="Times New Roman;serif"/>
          <w:b w:val="false"/>
          <w:i/>
          <w:color w:val="000000"/>
          <w:sz w:val="20"/>
        </w:rPr>
        <w:t>Note 16</w:t>
      </w:r>
      <w:r>
        <w:rPr>
          <w:color w:val="000000"/>
        </w:rPr>
        <w:t xml:space="preserve"> </w:t>
      </w:r>
      <w:r>
        <w:rPr>
          <w:rFonts w:ascii="Times New Roman;serif" w:hAnsi="Times New Roman;serif"/>
          <w:b w:val="false"/>
          <w:color w:val="000000"/>
          <w:sz w:val="20"/>
        </w:rPr>
        <w:t xml:space="preserve">in the 2025 Annual Report. In the six months ended June 30, 2026, the Company did not enter into any new significant license or collaboration agreements. The following includes a description of milestone fees incurred in the six months ended June 30, 2026 under the Company’s significant license and collaboration agreements.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Zai Lab Limited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p>
      <w:pPr>
        <w:pStyle w:val="TextBody"/>
        <w:bidi w:val="0"/>
        <w:spacing w:lineRule="auto" w:line="333" w:before="18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License and Collaboration Agreement with MediLink Therapeutics (DLL3-Targeting ADC)</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terms of the Company’s license and collaboration agreement with MediLink, the Company recorded an $8.0 million development milestone fee into research and development expenses in the first quarter of 2026. As of June 30, 2026, the Company may be required to pay an additional aggregate amount of up to $584.0 million in development, regulatory, and sales-based milestones as well as certain royalties at tiered percentage rates ranging from high single digits to low-teens on annual net sales of the licensed products in the licensed territory. </w:t>
      </w:r>
    </w:p>
    <w:p>
      <w:pPr>
        <w:pStyle w:val="TextBody"/>
        <w:bidi w:val="0"/>
        <w:spacing w:lineRule="auto" w:line="333" w:before="18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Collaboration and License Agreement with Pfizer (Tisotumab Vedotin)</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terms of the Company’s license and collaboration agreement with Seagen (a company later acquired by Pfizer), the Company recorded a regulatory milestone fee of $10.0 million as an intangible asset in the second quarter of 2026. As of June 30, 2026, the Company may be required to pay an additional aggregate amount of up to $248.0 million in development, regulatory, and sales-based milestones as well as certain royalties at tiered percentage rates ranging from mid-teens to low-twenties on annual net sales of the licensed products in the licensed territory. </w:t>
      </w:r>
    </w:p>
    <w:p>
      <w:pPr>
        <w:pStyle w:val="TextBody"/>
        <w:bidi w:val="0"/>
        <w:spacing w:lineRule="auto" w:line="288" w:before="1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Other License and Collaboration Arrangements That Are Not Individually Significant</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recorded upfront and milestone fees of $29.0 million into research and development expenses in the six months ended June 30, 2026 for license and collaboration agreements that are not individually significant, including $25.0 million in license fees for a pre-clinical program that the Company subsequently decided to terminate.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15. Restricted Net Assets </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Chinese laws and regulations restrict the Company’s ability to receive distributions of funds from its Chinese subsidiaries. For example, relevant Chinese laws and regulations permit payments of dividends by the Company’s Chinese subsidiaries only out of its retained earnings, if any, as determined in accordance with Chinese accounting standards and regulations. </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accordance with the Company Law of the People’s Republic of China, each Chinese subsidiary of the Company is required to provide statutory reserves of at least 10% of its annual after-tax profit until such reserve has reached 50% of its respective registered capital based on the enterprise’s Chinese statutory accounts. The reserves can only be used for specific purposes and are not distributable as cash dividends. Foreign exchange and other regulations in mainland China may further restrict the Company’s Chinese subsidiaries from transferring out funds in the form of dividends, loans, and advances.</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 appropriation to statutory reserves was made in the three and six months ended June 30, 2026 and 2025 because the Chinese subsidiaries had substantial losses during such periods. The Company did not receive any distributions from its Chinese subsidiaries; such distributions were not permitted under Chinese laws and regulations due to the reserve requirements discussed above. As of both June 30, 2026 and December 31, 2025, amounts restricted included the paid-in capital of the Company’s subsidiaries in mainland China and were $516.0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16. Commitments and Contingencies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 xml:space="preserve">(a) Purchase Commitments </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Company’s commitments were $1.8 million and related to commercial manufacturing development activities and capital expenditures that are contracted but not yet reflected in the unaudited condensed consolidated financial statements. These commitments were expected to be incurred within one year from June 30,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Zai Lab Limited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(b) Legal Proceedings</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not currently a party to any material legal proceedings.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(c) Indemnifications</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the normal course of business, the Company enters into agreements that indemnify others for certain liabilities that may arise in connection with a transaction or certain events and activities. To date, the Company has not paid any claims or been required to defend any action related to its indemnification obligations.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17. Segment Information </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operates as a single operating segment that is engaged in discovering, developing, and commercializing products that address medical conditions with significant unmet needs in the areas of oncology, immunology, neuroscience, and infectious disease. A global research and development organization and a supply chain organization discover, develop, manufacture, and supply the Company’s products. A global commercial organization markets, distributes, and sells the products. The business is also supported by global corporate staff functions. The Company’s Chief Operating Decision Maker (the “CODM”) is the Chief Executive Officer, who assesses performance and allocates resources based on significant expenses and net income on a consolidated basis. The significant expenses that are regularly provided to the CODM include those amounts that are also reported on the consolidated statement of operations as well as below additional disaggregated measures. The CODM also reviews cash position (which includes cash and cash equivalents, current restricted cash, and short-term investments that are reported on the consolidated balance sheets) when making operating decisions. In accordance with ASC 280, the Company has only one reportable segment.</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disaggregated expenses that are regularly provided to the CODM:</w:t>
      </w:r>
    </w:p>
    <w:tbl>
      <w:tblPr>
        <w:tblW w:w="9770" w:type="dxa"/>
        <w:jc w:val="left"/>
        <w:tblInd w:w="0" w:type="dxa"/>
        <w:tblLayout w:type="fixed"/>
        <w:tblCellMar>
          <w:top w:w="28" w:type="dxa"/>
          <w:left w:w="28" w:type="dxa"/>
          <w:bottom w:w="28" w:type="dxa"/>
          <w:right w:w="28" w:type="dxa"/>
        </w:tblCellMar>
      </w:tblPr>
      <w:tblGrid>
        <w:gridCol w:w="1266"/>
        <w:gridCol w:w="1111"/>
        <w:gridCol w:w="1117"/>
        <w:gridCol w:w="109"/>
        <w:gridCol w:w="109"/>
        <w:gridCol w:w="109"/>
        <w:gridCol w:w="500"/>
        <w:gridCol w:w="251"/>
        <w:gridCol w:w="251"/>
        <w:gridCol w:w="251"/>
        <w:gridCol w:w="251"/>
        <w:gridCol w:w="251"/>
        <w:gridCol w:w="500"/>
        <w:gridCol w:w="251"/>
        <w:gridCol w:w="251"/>
        <w:gridCol w:w="109"/>
        <w:gridCol w:w="109"/>
        <w:gridCol w:w="109"/>
        <w:gridCol w:w="517"/>
        <w:gridCol w:w="309"/>
        <w:gridCol w:w="224"/>
        <w:gridCol w:w="224"/>
        <w:gridCol w:w="224"/>
        <w:gridCol w:w="224"/>
        <w:gridCol w:w="517"/>
        <w:gridCol w:w="309"/>
        <w:gridCol w:w="317"/>
      </w:tblGrid>
      <w:tr>
        <w:trPr/>
        <w:tc>
          <w:tcPr>
            <w:tcW w:w="126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compensation and related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22,713 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22,447 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41,183 </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46,527 </w:t>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Licensing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37,000 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19,997 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CROs/CMOs/Investigators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18,259 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37,800 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29,765 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11,374 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15,054 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61,766 </w:t>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50,614 </w:t>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127,357 </w:t>
            </w:r>
          </w:p>
        </w:tc>
        <w:tc>
          <w:tcPr>
            <w:tcW w:w="2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111,343 </w:t>
            </w:r>
          </w:p>
        </w:tc>
        <w:tc>
          <w:tcPr>
            <w:tcW w:w="3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440"/>
        <w:gridCol w:w="1259"/>
        <w:gridCol w:w="1268"/>
        <w:gridCol w:w="109"/>
        <w:gridCol w:w="109"/>
        <w:gridCol w:w="109"/>
        <w:gridCol w:w="500"/>
        <w:gridCol w:w="250"/>
        <w:gridCol w:w="246"/>
        <w:gridCol w:w="246"/>
        <w:gridCol w:w="246"/>
        <w:gridCol w:w="246"/>
        <w:gridCol w:w="500"/>
        <w:gridCol w:w="250"/>
        <w:gridCol w:w="246"/>
        <w:gridCol w:w="109"/>
        <w:gridCol w:w="109"/>
        <w:gridCol w:w="109"/>
        <w:gridCol w:w="517"/>
        <w:gridCol w:w="309"/>
        <w:gridCol w:w="220"/>
        <w:gridCol w:w="220"/>
        <w:gridCol w:w="220"/>
        <w:gridCol w:w="220"/>
        <w:gridCol w:w="517"/>
        <w:gridCol w:w="309"/>
        <w:gridCol w:w="322"/>
      </w:tblGrid>
      <w:tr>
        <w:trPr/>
        <w:tc>
          <w:tcPr>
            <w:tcW w:w="1440"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3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Clinical programs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14,792 </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16,967 </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45,881 </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45,059 </w:t>
            </w:r>
          </w:p>
        </w:tc>
        <w:tc>
          <w:tcPr>
            <w:tcW w:w="3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Pre-Clinical programs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19,609 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5,069 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31,325 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8,383 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research and development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27,365 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28,578 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50,151 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57,901 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61,766 </w:t>
            </w:r>
          </w:p>
        </w:tc>
        <w:tc>
          <w:tcPr>
            <w:tcW w:w="2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50,614 </w:t>
            </w:r>
          </w:p>
        </w:tc>
        <w:tc>
          <w:tcPr>
            <w:tcW w:w="2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127,357 </w:t>
            </w:r>
          </w:p>
        </w:tc>
        <w:tc>
          <w:tcPr>
            <w:tcW w:w="2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111,343 </w:t>
            </w:r>
          </w:p>
        </w:tc>
        <w:tc>
          <w:tcPr>
            <w:tcW w:w="3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460"/>
        <w:gridCol w:w="1279"/>
        <w:gridCol w:w="1286"/>
        <w:gridCol w:w="109"/>
        <w:gridCol w:w="109"/>
        <w:gridCol w:w="109"/>
        <w:gridCol w:w="500"/>
        <w:gridCol w:w="248"/>
        <w:gridCol w:w="241"/>
        <w:gridCol w:w="241"/>
        <w:gridCol w:w="241"/>
        <w:gridCol w:w="241"/>
        <w:gridCol w:w="500"/>
        <w:gridCol w:w="248"/>
        <w:gridCol w:w="241"/>
        <w:gridCol w:w="109"/>
        <w:gridCol w:w="109"/>
        <w:gridCol w:w="109"/>
        <w:gridCol w:w="517"/>
        <w:gridCol w:w="309"/>
        <w:gridCol w:w="216"/>
        <w:gridCol w:w="216"/>
        <w:gridCol w:w="216"/>
        <w:gridCol w:w="216"/>
        <w:gridCol w:w="517"/>
        <w:gridCol w:w="309"/>
        <w:gridCol w:w="309"/>
      </w:tblGrid>
      <w:tr>
        <w:trPr/>
        <w:tc>
          <w:tcPr>
            <w:tcW w:w="1460"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r>
      <w:tr>
        <w:trPr/>
        <w:tc>
          <w:tcPr>
            <w:tcW w:w="4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compensation and related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44,707 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42,679 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85,767 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83,322 </w:t>
            </w:r>
          </w:p>
        </w:tc>
        <w:tc>
          <w:tcPr>
            <w:tcW w:w="3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28,165 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28,359 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52,175 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51,138 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72,872 </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71,038 </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137,942 </w:t>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134,460 </w:t>
            </w:r>
          </w:p>
        </w:tc>
        <w:tc>
          <w:tcPr>
            <w:tcW w:w="3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Zai Lab Limited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bl>
      <w:tblPr>
        <w:tblW w:w="10205" w:type="dxa"/>
        <w:jc w:val="left"/>
        <w:tblInd w:w="0" w:type="dxa"/>
        <w:tblLayout w:type="fixed"/>
        <w:tblCellMar>
          <w:top w:w="28" w:type="dxa"/>
          <w:left w:w="28" w:type="dxa"/>
          <w:bottom w:w="28" w:type="dxa"/>
          <w:right w:w="28" w:type="dxa"/>
        </w:tblCellMar>
      </w:tblPr>
      <w:tblGrid>
        <w:gridCol w:w="1470"/>
        <w:gridCol w:w="1272"/>
        <w:gridCol w:w="1282"/>
        <w:gridCol w:w="109"/>
        <w:gridCol w:w="109"/>
        <w:gridCol w:w="109"/>
        <w:gridCol w:w="500"/>
        <w:gridCol w:w="248"/>
        <w:gridCol w:w="241"/>
        <w:gridCol w:w="241"/>
        <w:gridCol w:w="241"/>
        <w:gridCol w:w="241"/>
        <w:gridCol w:w="500"/>
        <w:gridCol w:w="248"/>
        <w:gridCol w:w="241"/>
        <w:gridCol w:w="109"/>
        <w:gridCol w:w="109"/>
        <w:gridCol w:w="109"/>
        <w:gridCol w:w="517"/>
        <w:gridCol w:w="309"/>
        <w:gridCol w:w="216"/>
        <w:gridCol w:w="216"/>
        <w:gridCol w:w="216"/>
        <w:gridCol w:w="216"/>
        <w:gridCol w:w="517"/>
        <w:gridCol w:w="309"/>
        <w:gridCol w:w="310"/>
      </w:tblGrid>
      <w:tr>
        <w:trPr/>
        <w:tc>
          <w:tcPr>
            <w:tcW w:w="1470"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51,556 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46,764 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94,994 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88,703 </w:t>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21,316 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42,948 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45,757 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72,872 </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71,038 </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137,942 </w:t>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134,460 </w:t>
            </w:r>
          </w:p>
        </w:tc>
        <w:tc>
          <w:tcPr>
            <w:tcW w:w="3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180" w:after="283"/>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333" w:after="283"/>
        <w:ind w:left="0" w:right="0" w:firstLine="540"/>
        <w:jc w:val="left"/>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333" w:before="180" w:after="283"/>
        <w:ind w:left="0" w:right="0" w:firstLine="540"/>
        <w:jc w:val="left"/>
        <w:rPr/>
      </w:pPr>
      <w:r>
        <w:rPr>
          <w:rFonts w:ascii="Times New Roman;serif" w:hAnsi="Times New Roman;serif"/>
          <w:b w:val="false"/>
          <w:color w:val="000000"/>
          <w:sz w:val="20"/>
        </w:rPr>
        <w:t xml:space="preserve">You should read the following discussion and analysis of our financial condition and results of operations together with our 2025 Annual Report and our unaudited condensed consolidated financial statements and the accompanying notes for the three and six months ended June 30, 2026 included in </w:t>
      </w:r>
      <w:r>
        <w:rPr>
          <w:rFonts w:ascii="Times New Roman;serif" w:hAnsi="Times New Roman;serif"/>
          <w:b w:val="false"/>
          <w:i/>
          <w:color w:val="000000"/>
          <w:sz w:val="20"/>
        </w:rPr>
        <w:t>Item 1. Financial Statements</w:t>
      </w:r>
      <w:r>
        <w:rPr>
          <w:rFonts w:ascii="Times New Roman;serif" w:hAnsi="Times New Roman;serif"/>
          <w:b w:val="false"/>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Overview </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a patient-focused, innovative, commercial-stage, global biopharmaceutical company with a substantial presence in both Greater China and the United States. We are focused on discovering, developing, and commercializing products that address medical conditions with significant unmet needs in the areas of oncology, immunology, neuroscience, and infectious disease. We intend to leverage our competencies and resources to positively impact human health. We currently have eight commercial programs – ZEJULA, VYVGART / VYVGART Hytrulo, NUZYRA, OPTUNE, QINLOCK, XACDURO, AUGTYRO, and KarXT – with products that have received marketing approval and that we have commercially launched in China. We also have multiple programs in late-stage product development and a number of ongoing pivotal trials across our portfolio.</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Since our inception, we have incurred net losses and negative cash flows from our operations. Substantially all of our losses have resulted from funding our research and development programs and selling, general, and administrative costs associated with our operations. Developing high quality product candidates requires significant investment in our research and development activities over a prolonged period of time, and a core part of our strategy is to continue making sustained investments in this area. Our ability to generate profits and positive cash flow from operations depends upon our ability to successfully market our commercial products and to successfully expand the indications for these products and develop and commercialize our other product candidates. As discussed further below, we expect to continue to incur substantial costs related to our research and development and commercialization activities.</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we pursue our corporate strategic goals, we anticipate that our financial results will fluctuate from quarter to quarter and year to year depending in part on the balance between the success of our commercial products and the level of our research and development expenses. We cannot predict whether or when our product candidates will receive regulatory approval. Further, if we receive such regulatory approval, we cannot predict whether or when we may be able to successfully commercialize such products or whether or when such products may become profitable.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Recent Developments </w:t>
      </w:r>
    </w:p>
    <w:p>
      <w:pPr>
        <w:pStyle w:val="TextBody"/>
        <w:bidi w:val="0"/>
        <w:spacing w:lineRule="auto" w:line="333" w:before="180" w:after="283"/>
        <w:jc w:val="left"/>
        <w:rPr>
          <w:rFonts w:ascii="Times New Roman;serif" w:hAnsi="Times New Roman;serif"/>
          <w:b/>
          <w:i/>
          <w:color w:val="000000"/>
          <w:sz w:val="20"/>
        </w:rPr>
      </w:pPr>
      <w:r>
        <w:rPr>
          <w:rFonts w:ascii="Times New Roman;serif" w:hAnsi="Times New Roman;serif"/>
          <w:b/>
          <w:i/>
          <w:color w:val="000000"/>
          <w:sz w:val="20"/>
        </w:rPr>
        <w:t xml:space="preserve">Commercial Products </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Net product revenue was $105.8 million for the second quarter of 2026, a decrease of 3% compared to the prior year period, primarily driven by decreased revenue for ZEJULA, due to a shift in hospital utilization patterns following volume-based procurement for generic olaparib, and VYVGART, primarily due to a pricing adjustment related to NRDL renewal. These decreases were partially offset by increased sales for XACDURO, driven by strong patient demand and expanding hospital adoption but partially constrained by supply limitations, and increased sales for NUZYRA, supported by increased market coverage and penetration. </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June 2026, we launched KarXT in mainland China for the treatment of schizophrenia in adults. KarXT is the first schizophrenia therapy with a novel mechanism of action approved in over 70 years, offering a new approach to treating schizophrenia through selective activation of M1 and M4 muscarinic receptors. We are preparing to seek inclusion of KarXT in China’s NRDL in 2027.</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333" w:after="283"/>
        <w:ind w:left="0" w:right="0" w:firstLine="540"/>
        <w:jc w:val="left"/>
        <w:rPr/>
      </w:pPr>
      <w:r>
        <w:rPr/>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 xml:space="preserve">Product Candidates </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continued to advance our product candidates through our research and development activities, including the following developments with respect to our clinical trials and regulatory approvals:</w:t>
      </w:r>
    </w:p>
    <w:p>
      <w:pPr>
        <w:pStyle w:val="TextBody"/>
        <w:bidi w:val="0"/>
        <w:spacing w:lineRule="auto" w:line="333" w:before="18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Oncology</w:t>
      </w:r>
    </w:p>
    <w:p>
      <w:pPr>
        <w:pStyle w:val="TextBody"/>
        <w:bidi w:val="0"/>
        <w:spacing w:lineRule="auto" w:line="333" w:before="180" w:after="283"/>
        <w:ind w:left="0" w:right="0" w:hanging="360"/>
        <w:jc w:val="left"/>
        <w:rPr/>
      </w:pPr>
      <w:r>
        <w:rPr>
          <w:color w:val="000000"/>
        </w:rPr>
        <w:t>•</w:t>
      </w:r>
      <w:r>
        <w:rPr>
          <w:rFonts w:ascii="Times New Roman;serif" w:hAnsi="Times New Roman;serif"/>
          <w:b/>
          <w:color w:val="000000"/>
          <w:sz w:val="20"/>
        </w:rPr>
        <w:t xml:space="preserve">Zocilurtatug Pelitecan (Zoci, DLL3-Targeting ADC) (formerly ZL-1310): </w:t>
      </w:r>
      <w:r>
        <w:rPr>
          <w:rFonts w:ascii="Times New Roman;serif" w:hAnsi="Times New Roman;serif"/>
          <w:b w:val="false"/>
          <w:color w:val="000000"/>
          <w:sz w:val="20"/>
          <w:shd w:fill="FFFFFF" w:val="clear"/>
        </w:rPr>
        <w:t xml:space="preserve">In April 2026, we presented compelling clinical data </w:t>
      </w:r>
      <w:r>
        <w:rPr>
          <w:rFonts w:ascii="Times New Roman;serif" w:hAnsi="Times New Roman;serif"/>
          <w:b w:val="false"/>
          <w:color w:val="000000"/>
          <w:sz w:val="20"/>
        </w:rPr>
        <w:t>at the American Association for Cancer Research (“AACR”) Annual Meeting 2026</w:t>
      </w:r>
      <w:r>
        <w:rPr>
          <w:color w:val="000000"/>
          <w:shd w:fill="FFFFFF" w:val="clear"/>
        </w:rPr>
        <w:t xml:space="preserve"> </w:t>
      </w:r>
      <w:r>
        <w:rPr>
          <w:rFonts w:ascii="Times New Roman;serif" w:hAnsi="Times New Roman;serif"/>
          <w:b w:val="false"/>
          <w:color w:val="000000"/>
          <w:sz w:val="20"/>
          <w:shd w:fill="FFFFFF" w:val="clear"/>
        </w:rPr>
        <w:t xml:space="preserve">demonstrating that zoci </w:t>
      </w:r>
      <w:r>
        <w:rPr>
          <w:rFonts w:ascii="Times New Roman;serif" w:hAnsi="Times New Roman;serif"/>
          <w:b w:val="false"/>
          <w:color w:val="000000"/>
          <w:sz w:val="20"/>
        </w:rPr>
        <w:t>delivers rapid and robust intracranial responses in patients with previously treated ES-SCLC and brain metastases as measured by blinded independent assessment using mRANO-BM criteria, as well as promising data in patients with extrapulmonary NECs.</w:t>
      </w:r>
    </w:p>
    <w:p>
      <w:pPr>
        <w:pStyle w:val="TextBody"/>
        <w:bidi w:val="0"/>
        <w:spacing w:lineRule="auto" w:line="333" w:before="180" w:after="283"/>
        <w:ind w:left="0" w:right="0" w:hanging="360"/>
        <w:jc w:val="left"/>
        <w:rPr/>
      </w:pPr>
      <w:r>
        <w:rPr>
          <w:color w:val="000000"/>
        </w:rPr>
        <w:t>◦</w:t>
      </w:r>
      <w:r>
        <w:rPr>
          <w:rFonts w:ascii="Times New Roman;serif" w:hAnsi="Times New Roman;serif"/>
          <w:b w:val="false"/>
          <w:i/>
          <w:color w:val="000000"/>
          <w:sz w:val="20"/>
        </w:rPr>
        <w:t>SCLC with Brain Metastases</w:t>
      </w:r>
      <w:r>
        <w:rPr>
          <w:rFonts w:ascii="Times New Roman;serif" w:hAnsi="Times New Roman;serif"/>
          <w:b w:val="false"/>
          <w:color w:val="000000"/>
          <w:sz w:val="20"/>
        </w:rPr>
        <w:t>: Zoci showed a 53.7% confirmed intracranial objective response rate with 62.5% (10/16) at the 1.6 mg/kg dose, including complete responses. Notably, responses were observed in patients without prior brain radiotherapy (9/15, 60%), highlighting the net drug effect on the intracranial lesions. Zoci was well tolerated, with Grade ≥3 treatment-related adverse events (“TRAEs”) in 19.9% (27/136) of the overall population and in 16.4% (9/55) of patients who received 1.6 mg/kg.</w:t>
      </w:r>
    </w:p>
    <w:p>
      <w:pPr>
        <w:pStyle w:val="TextBody"/>
        <w:bidi w:val="0"/>
        <w:spacing w:lineRule="auto" w:line="333" w:before="180" w:after="283"/>
        <w:ind w:left="0" w:right="0" w:hanging="360"/>
        <w:jc w:val="left"/>
        <w:rPr/>
      </w:pPr>
      <w:r>
        <w:rPr>
          <w:color w:val="000000"/>
        </w:rPr>
        <w:t>◦</w:t>
      </w:r>
      <w:r>
        <w:rPr>
          <w:rFonts w:ascii="Times New Roman;serif" w:hAnsi="Times New Roman;serif"/>
          <w:b w:val="false"/>
          <w:i/>
          <w:color w:val="000000"/>
          <w:sz w:val="20"/>
        </w:rPr>
        <w:t>Extrapulmonary NECs</w:t>
      </w:r>
      <w:r>
        <w:rPr>
          <w:rFonts w:ascii="Times New Roman;serif" w:hAnsi="Times New Roman;serif"/>
          <w:b w:val="false"/>
          <w:color w:val="000000"/>
          <w:sz w:val="20"/>
        </w:rPr>
        <w:t>: Encouraging activity was observed with a 38.2% confirmed objective response rate across extrapulmonary NECs of different primary origins. The safety profile in extrapulmonary NECs was consistent with that previously observed in SCLC with Grade ≥3 TRAEs in 15.2% of patients in Phase 1b. We are actively engaging with health authorities on a registrational plan for extrapulmonary NECs.</w:t>
      </w:r>
    </w:p>
    <w:p>
      <w:pPr>
        <w:pStyle w:val="TextBody"/>
        <w:bidi w:val="0"/>
        <w:spacing w:lineRule="auto" w:line="333" w:before="180" w:after="283"/>
        <w:jc w:val="left"/>
        <w:rPr/>
      </w:pPr>
      <w:r>
        <w:rPr>
          <w:rFonts w:ascii="Times New Roman;serif" w:hAnsi="Times New Roman;serif"/>
          <w:b w:val="false"/>
          <w:i/>
          <w:color w:val="000000"/>
          <w:sz w:val="20"/>
        </w:rPr>
        <w:t xml:space="preserve">Combination Collaborations: </w:t>
      </w:r>
      <w:r>
        <w:rPr>
          <w:rFonts w:ascii="Times New Roman;serif" w:hAnsi="Times New Roman;serif"/>
          <w:b w:val="false"/>
          <w:color w:val="000000"/>
          <w:sz w:val="20"/>
        </w:rPr>
        <w:t>In April 2026, we announced a global clinical trial collaboration with Amgen to evaluate zoci in combination with Amgen’s IMDELLTRA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(tarlatamab-dlle), a DLL3/CD3 bispecific T-cell engager, for ES-SCLC and a clinical collaboration with Boehringer Ingelheim to evaluate zoci in combination with obrixtamig, a DLL3/CD3 bispecific T-cell engager, for SCLC and other NECs. In April 2026, Amgen initiated enrollment in the global Phase 1b study (DeLLphi-313) evaluating zoci in combination with tarlatamab with or without anti-PD-L1 in patients with SCLC.</w:t>
      </w:r>
    </w:p>
    <w:p>
      <w:pPr>
        <w:pStyle w:val="TextBody"/>
        <w:bidi w:val="0"/>
        <w:spacing w:lineRule="auto" w:line="333" w:before="180" w:after="283"/>
        <w:jc w:val="left"/>
        <w:rPr/>
      </w:pPr>
      <w:r>
        <w:rPr>
          <w:rFonts w:ascii="Times New Roman;serif" w:hAnsi="Times New Roman;serif"/>
          <w:b w:val="false"/>
          <w:i/>
          <w:color w:val="000000"/>
          <w:sz w:val="20"/>
        </w:rPr>
        <w:t xml:space="preserve">Regulatory Designations: </w:t>
      </w:r>
      <w:r>
        <w:rPr>
          <w:rFonts w:ascii="Times New Roman;serif" w:hAnsi="Times New Roman;serif"/>
          <w:b w:val="false"/>
          <w:color w:val="000000"/>
          <w:sz w:val="20"/>
        </w:rPr>
        <w:t>In May 2026, we received Fast Track Designation from the FDA for zoci for the treatment of patients with extrapulmonary NECs. This is the second FDA Fast Track Designation for zoci. In June 2026, we received Orphan Drug Designation (ODD) from the EMA for zoci for the treatment of patients with pulmonary NECs, and in July 2026, we received ODD from the FDA for zoci for the treatment of NECs.</w:t>
      </w:r>
    </w:p>
    <w:p>
      <w:pPr>
        <w:pStyle w:val="TextBody"/>
        <w:bidi w:val="0"/>
        <w:spacing w:lineRule="auto" w:line="333" w:before="180" w:after="283"/>
        <w:ind w:left="0" w:right="0" w:hanging="360"/>
        <w:jc w:val="left"/>
        <w:rPr/>
      </w:pPr>
      <w:r>
        <w:rPr>
          <w:color w:val="000000"/>
        </w:rPr>
        <w:t>•</w:t>
      </w:r>
      <w:r>
        <w:rPr>
          <w:rFonts w:ascii="Times New Roman;serif" w:hAnsi="Times New Roman;serif"/>
          <w:b/>
          <w:color w:val="000000"/>
          <w:sz w:val="20"/>
        </w:rPr>
        <w:t xml:space="preserve">TIVDAK (tisotumab vedotin): </w:t>
      </w:r>
      <w:r>
        <w:rPr>
          <w:rFonts w:ascii="Times New Roman;serif" w:hAnsi="Times New Roman;serif"/>
          <w:b w:val="false"/>
          <w:color w:val="000000"/>
          <w:sz w:val="20"/>
        </w:rPr>
        <w:t>In June 2026, China’s NMPA approved the BLA for TIVDAK for the treatment of adult patients with recurrent or metastatic cervical cancer with disease progression on or after chemotherapy. TIVDAK is the first ADC approved in China for this indication. TIVDAK demonstrated a statistically significant overall survival benefit in the global Phase 3 innovaTV 301 clinical trial, including in the trial’s China subpopulation.</w:t>
      </w:r>
    </w:p>
    <w:p>
      <w:pPr>
        <w:pStyle w:val="TextBody"/>
        <w:bidi w:val="0"/>
        <w:spacing w:lineRule="auto" w:line="333" w:before="18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Immunology, Neuroscience, and Infectious Disease</w:t>
      </w:r>
    </w:p>
    <w:p>
      <w:pPr>
        <w:pStyle w:val="TextBody"/>
        <w:bidi w:val="0"/>
        <w:spacing w:lineRule="auto" w:line="333" w:before="180" w:after="283"/>
        <w:ind w:left="0" w:right="0" w:hanging="360"/>
        <w:jc w:val="left"/>
        <w:rPr/>
      </w:pPr>
      <w:r>
        <w:rPr>
          <w:color w:val="000000"/>
        </w:rPr>
        <w:t>•</w:t>
      </w:r>
      <w:r>
        <w:rPr>
          <w:rFonts w:ascii="Times New Roman;serif" w:hAnsi="Times New Roman;serif"/>
          <w:b/>
          <w:color w:val="000000"/>
          <w:sz w:val="20"/>
        </w:rPr>
        <w:t xml:space="preserve">ZL-1503 (IL-13/IL-31Rα): </w:t>
      </w:r>
      <w:r>
        <w:rPr>
          <w:rFonts w:ascii="Times New Roman;serif" w:hAnsi="Times New Roman;serif"/>
          <w:b w:val="false"/>
          <w:color w:val="000000"/>
          <w:sz w:val="20"/>
        </w:rPr>
        <w:t>In April 2026, we announced new data from a preclinical study of ZL-1503, demonstrating that our internally developed long-acting IL-13/IL-31Rα bispecific antibody may lead to sustained suppression of intense pruritus (itch) and inflammation caused by atopic diseases. The findings reinforce the potential of ZL-1503 to be a first-in-class treatment option for moderate-to-severe atopic dermatitis and other IL-13 and IL-31-driven diseases. A global Phase 1/1b study is ongoing, and we expect to report the first-in-human data from the global Phase 1 portion in the second half of 2026.</w:t>
      </w:r>
    </w:p>
    <w:p>
      <w:pPr>
        <w:pStyle w:val="TextBody"/>
        <w:bidi w:val="0"/>
        <w:spacing w:lineRule="auto" w:line="333" w:before="180" w:after="283"/>
        <w:ind w:left="0" w:right="0" w:hanging="360"/>
        <w:jc w:val="left"/>
        <w:rPr/>
      </w:pPr>
      <w:r>
        <w:rPr>
          <w:color w:val="000000"/>
        </w:rPr>
        <w:t>•</w:t>
      </w:r>
      <w:r>
        <w:rPr>
          <w:rFonts w:ascii="Times New Roman;serif" w:hAnsi="Times New Roman;serif"/>
          <w:b/>
          <w:color w:val="000000"/>
          <w:sz w:val="20"/>
        </w:rPr>
        <w:t xml:space="preserve">Efgartigimod (FcRn): </w:t>
      </w:r>
      <w:r>
        <w:rPr>
          <w:rFonts w:ascii="Times New Roman;serif" w:hAnsi="Times New Roman;serif"/>
          <w:b w:val="false"/>
          <w:color w:val="000000"/>
          <w:sz w:val="20"/>
        </w:rPr>
        <w:t xml:space="preserve">In May 2026, the FDA approved the supplemental BLA submitted by our partner argenx for VYVGART and VYVGART Hytrulo, expanding the label to include all serotypes of adult patients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333" w:after="283"/>
        <w:ind w:left="0" w:right="0" w:firstLine="540"/>
        <w:jc w:val="left"/>
        <w:rPr/>
      </w:pPr>
      <w:r>
        <w:rPr/>
      </w:r>
    </w:p>
    <w:p>
      <w:pPr>
        <w:pStyle w:val="TextBody"/>
        <w:bidi w:val="0"/>
        <w:spacing w:lineRule="auto" w:line="333" w:before="180" w:after="283"/>
        <w:jc w:val="left"/>
        <w:rPr>
          <w:rFonts w:ascii="Times New Roman;serif" w:hAnsi="Times New Roman;serif"/>
          <w:b w:val="false"/>
          <w:color w:val="000000"/>
          <w:sz w:val="20"/>
        </w:rPr>
      </w:pPr>
      <w:r>
        <w:rPr>
          <w:rFonts w:ascii="Times New Roman;serif" w:hAnsi="Times New Roman;serif"/>
          <w:b w:val="false"/>
          <w:color w:val="000000"/>
          <w:sz w:val="20"/>
        </w:rPr>
        <w:t>living with gMG — anti-AChR-Ab positive, anti-MuSK-Ab positive, anti-LRP4-Ab positive, and triple seronegative. The approval is based on data from the Phase 3 ADAPT SERON study. We participated in the ADAPT SERON study in Greater China.</w:t>
      </w:r>
    </w:p>
    <w:p>
      <w:pPr>
        <w:pStyle w:val="TextBody"/>
        <w:bidi w:val="0"/>
        <w:spacing w:lineRule="auto" w:line="333" w:before="180" w:after="283"/>
        <w:ind w:left="0" w:right="0" w:hanging="360"/>
        <w:jc w:val="left"/>
        <w:rPr/>
      </w:pPr>
      <w:r>
        <w:rPr>
          <w:color w:val="000000"/>
        </w:rPr>
        <w:t>•</w:t>
      </w:r>
      <w:r>
        <w:rPr>
          <w:rFonts w:ascii="Times New Roman;serif" w:hAnsi="Times New Roman;serif"/>
          <w:b/>
          <w:color w:val="000000"/>
          <w:sz w:val="20"/>
        </w:rPr>
        <w:t xml:space="preserve">Povetacicept (Pove, Anti-APRIL/BAFF): </w:t>
      </w:r>
      <w:r>
        <w:rPr>
          <w:rFonts w:ascii="Times New Roman;serif" w:hAnsi="Times New Roman;serif"/>
          <w:b w:val="false"/>
          <w:color w:val="000000"/>
          <w:sz w:val="20"/>
        </w:rPr>
        <w:t>In June 2026, our partner Vertex announced that the FDA accepted its BLA submission for pove for accelerated approval in adults with IgAN, with a PDUFA target action date of November 30, 2026. We participated in the global Phase 3 RAINIER study in Greater China.</w:t>
      </w:r>
    </w:p>
    <w:p>
      <w:pPr>
        <w:pStyle w:val="TextBody"/>
        <w:bidi w:val="0"/>
        <w:spacing w:lineRule="auto" w:line="333" w:before="180" w:after="283"/>
        <w:ind w:left="0" w:right="0" w:hanging="360"/>
        <w:jc w:val="left"/>
        <w:rPr/>
      </w:pPr>
      <w:r>
        <w:rPr>
          <w:color w:val="000000"/>
        </w:rPr>
        <w:t>•</w:t>
      </w:r>
      <w:r>
        <w:rPr>
          <w:rFonts w:ascii="Times New Roman;serif" w:hAnsi="Times New Roman;serif"/>
          <w:b/>
          <w:color w:val="000000"/>
          <w:sz w:val="20"/>
        </w:rPr>
        <w:t xml:space="preserve">Elegrobart (Anti-IGF-1R, SC): </w:t>
      </w:r>
      <w:r>
        <w:rPr>
          <w:rFonts w:ascii="Times New Roman;serif" w:hAnsi="Times New Roman;serif"/>
          <w:b w:val="false"/>
          <w:color w:val="000000"/>
          <w:sz w:val="20"/>
        </w:rPr>
        <w:t>Viridian Therapeutics announced positive topline data from REVEAL-2, elegrobart’s pivotal Phase 3 clinical trial for chronic TED, in May 2026. Elegrobart was generally well tolerated, and the trial met its primary endpoint with a highly statistically significant treatment effect. Both elegrobart Q4W and Q8W treatment arms achieved statistically significant and clinically meaningful 50% and 54% proptosis responder rates, respectively, versus 15% placebo at week 24. The Q4W treatment arm additionally provided meaningful diplopia benefit to patients with chronic TED. We have an exclusive license from Zenas BioPharma to develop and commercialize elegrobart in Greater China and are currently conducting a Phase 3 bridging study in the region.</w:t>
      </w:r>
    </w:p>
    <w:p>
      <w:pPr>
        <w:pStyle w:val="TextBody"/>
        <w:bidi w:val="0"/>
        <w:spacing w:lineRule="auto" w:line="333" w:before="180" w:after="283"/>
        <w:jc w:val="left"/>
        <w:rPr>
          <w:rFonts w:ascii="Times New Roman;serif" w:hAnsi="Times New Roman;serif"/>
          <w:b/>
          <w:i/>
          <w:color w:val="000000"/>
          <w:sz w:val="20"/>
        </w:rPr>
      </w:pPr>
      <w:r>
        <w:rPr>
          <w:rFonts w:ascii="Times New Roman;serif" w:hAnsi="Times New Roman;serif"/>
          <w:b/>
          <w:i/>
          <w:color w:val="000000"/>
          <w:sz w:val="20"/>
        </w:rPr>
        <w:t>Organizational Updates</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second quarter, we continued to strengthen our business through key additions to our global leadership team. For example, in April 2026, we appointed Yizhe Wang, Ph.D., as Operating Partner, to strengthen our commercial capabilities and execution. Dr. Wang brings extensive experience in global oncology and immunology commercial operations, having led commercial teams across China, the U.S., and the U.K. at GSK and Eli Lilly. </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May 2026, Josh Smiley, President and Chief Operating Officer, departed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Factors Affecting Our Results of Operations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 xml:space="preserve">Our Commercial Products </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generate product revenue through the sale of our commercial products in Greater China, net of any related sales returns and rebates to distributors. Our cost of product revenue mainly consists of the costs of manufacturing ZEJULA and NUZYRA; costs of purchasing VYVGART / VYVGART Hytrulo, OPTUNE, QINLOCK, XACDURO, AUGTYRO, and KarXT from our collaboration partners; any royalty fees incurred as a result of sales of our commercial products under our license and collaboration agreements; and amortization of capitalized post-approval milestone fees incurred under our license and collaboration agreements. We expect to continue to focus on increasing patient access to our existing commercial products, such as through NRDL listing or increased supplemental insurance coverage in the private-pay market, and to launch additional commercial products, if and when we obtain required regulatory approvals.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 xml:space="preserve">Research and Development Expenses </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our ability to successfully develop product candidates will be the primary factor affecting our long-term competitiveness, as well as our future growth and development. Developing high quality product candidates requires a significant investment of resources over a prolonged period of time. We are committed to advancing and expanding our pipeline of potential best-in-class and first-in-class products, such as through clinical and pre-clinical trials and business development activities. As a result, we expect to continue making significant investments in research and development, including internal discovery activities. </w:t>
      </w:r>
    </w:p>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Elements of research and development expenditures primarily include: </w:t>
      </w:r>
    </w:p>
    <w:p>
      <w:pPr>
        <w:pStyle w:val="TextBody"/>
        <w:bidi w:val="0"/>
        <w:spacing w:lineRule="auto" w:line="288" w:before="180" w:after="283"/>
        <w:ind w:left="0" w:right="0" w:hanging="540"/>
        <w:jc w:val="left"/>
        <w:rPr/>
      </w:pPr>
      <w:r>
        <w:rPr>
          <w:color w:val="000000"/>
        </w:rPr>
        <w:t>•</w:t>
      </w:r>
      <w:r>
        <w:rPr>
          <w:rFonts w:ascii="Times New Roman;serif" w:hAnsi="Times New Roman;serif"/>
          <w:b w:val="false"/>
          <w:color w:val="000000"/>
          <w:sz w:val="20"/>
        </w:rPr>
        <w:t xml:space="preserve">payroll and other related costs of personnel engaged in research and development activities; </w:t>
      </w:r>
    </w:p>
    <w:p>
      <w:pPr>
        <w:pStyle w:val="TextBody"/>
        <w:bidi w:val="0"/>
        <w:spacing w:lineRule="auto" w:line="333" w:before="180" w:after="283"/>
        <w:ind w:left="0" w:right="0" w:hanging="540"/>
        <w:jc w:val="left"/>
        <w:rPr/>
      </w:pPr>
      <w:r>
        <w:rPr>
          <w:color w:val="000000"/>
        </w:rPr>
        <w:t>•</w:t>
      </w:r>
      <w:r>
        <w:rPr>
          <w:rFonts w:ascii="Times New Roman;serif" w:hAnsi="Times New Roman;serif"/>
          <w:b w:val="false"/>
          <w:color w:val="000000"/>
          <w:sz w:val="20"/>
        </w:rPr>
        <w:t xml:space="preserve">fees for exclusive development rights of products granted to the Company; </w:t>
      </w:r>
    </w:p>
    <w:p>
      <w:pPr>
        <w:pStyle w:val="TextBody"/>
        <w:bidi w:val="0"/>
        <w:spacing w:lineRule="auto" w:line="333" w:before="180" w:after="283"/>
        <w:ind w:left="0" w:right="0" w:hanging="540"/>
        <w:jc w:val="left"/>
        <w:rPr/>
      </w:pPr>
      <w:r>
        <w:rPr>
          <w:color w:val="000000"/>
        </w:rPr>
        <w:t>•</w:t>
      </w:r>
      <w:r>
        <w:rPr>
          <w:rFonts w:ascii="Times New Roman;serif" w:hAnsi="Times New Roman;serif"/>
          <w:b w:val="false"/>
          <w:color w:val="000000"/>
          <w:sz w:val="20"/>
        </w:rPr>
        <w:t>costs related to pre-clinical testing of the Company’s technologies and clinical trials, such as payments to CROs and CMOs, investigators, and clinical trial sites that conduct our clinical studies;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333" w:after="283"/>
        <w:ind w:left="0" w:right="0" w:firstLine="540"/>
        <w:jc w:val="left"/>
        <w:rPr/>
      </w:pPr>
      <w:r>
        <w:rPr/>
      </w:r>
    </w:p>
    <w:p>
      <w:pPr>
        <w:pStyle w:val="TextBody"/>
        <w:bidi w:val="0"/>
        <w:spacing w:lineRule="auto" w:line="333" w:before="180" w:after="283"/>
        <w:ind w:left="0" w:right="0" w:hanging="540"/>
        <w:jc w:val="left"/>
        <w:rPr/>
      </w:pPr>
      <w:r>
        <w:rPr>
          <w:color w:val="000000"/>
        </w:rPr>
        <w:t>•</w:t>
      </w:r>
      <w:r>
        <w:rPr>
          <w:rFonts w:ascii="Times New Roman;serif" w:hAnsi="Times New Roman;serif"/>
          <w:b w:val="false"/>
          <w:color w:val="000000"/>
          <w:sz w:val="20"/>
        </w:rPr>
        <w:t>costs to produce the product candidates, including raw materials and supplies, product testing, depreciation, and facility-related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 xml:space="preserve">Selling, General, and Administrative Expenses </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selling, general, and administrative expenses consist primarily of personnel compensation and related costs, including share-based compensation for commercial and administrative personnel. Other selling, general, and administrative expenses include product distribution and promotion costs, and professional service fees for legal, intellectual property, auditing, and tax services as well as other direct and allocated expenses for rent and maintenance of facilities, insurance, and other supplies used in selling, general, and administrative activities. We expect these costs to continue to be significant to support sales of our commercial products and preparation to launch and subsequent sales of additional product candidates if and when approved.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 xml:space="preserve">Our Ability to Commercialize Our Product Candidates </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have multiple product candidates in late-stage clinical development and various others in clinical and pre-clinical development in Greater China and globally. Our ability to generate revenue from our product candidates is dependent on our receipt of regulatory approvals for and successful commercialization of such product candidates, which may not occur. Certain of our product candidates may require additional pre-clinical and/or clinical development, regulatory approvals in multiple jurisdictions, manufacturing supply, and significant marketing efforts before we generate any revenue from product sales.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 xml:space="preserve">License and Collaboration Arrangements </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results of operations have been, and will continue to be, affected by our license and collaboration agreements. In accordance with these agreements, we may be required to make upfront payments and milestone payments upon the achievement of certain development, regulatory, and sales-based milestones for the relevant products as well as certain royalties at tiered percentage rates based on annual net sales of the licensed products in the licensed territories. As of June 30, 2026, we may in the future be required to pay development and regulatory milestone payments of up to an additional aggregate amount of $197.0 million for our current clinical programs and $863.0 million for other programs. Such development and regulatory milestone payments are contingent on the progress of our product candidates prior to commercialization, and we see these payments as favorable because they indicate that product candidates are advancing. As of June 30, 2026, we also in the future may be required to pay sales-based milestone payments of up to an additional aggregate amount of $3,078.0 million as well as certain royalties at tiered percentage rates on annual net sales. Such sales-based milestone and royalty payments are contingent on the performance of our commercial products, and we see these payments as favorable because they signify that a product is achieving higher sales levels.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333" w:after="283"/>
        <w:ind w:left="0" w:right="0" w:firstLine="54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this section, we discuss our results of operations for the three and six months ended June 30, 2026 compared to the same periods in 2025.</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results of operations ($ in thousands):</w:t>
      </w:r>
    </w:p>
    <w:tbl>
      <w:tblPr>
        <w:tblW w:w="10205" w:type="dxa"/>
        <w:jc w:val="left"/>
        <w:tblInd w:w="0" w:type="dxa"/>
        <w:tblLayout w:type="fixed"/>
        <w:tblCellMar>
          <w:top w:w="28" w:type="dxa"/>
          <w:left w:w="28" w:type="dxa"/>
          <w:bottom w:w="28" w:type="dxa"/>
          <w:right w:w="28" w:type="dxa"/>
        </w:tblCellMar>
      </w:tblPr>
      <w:tblGrid>
        <w:gridCol w:w="606"/>
        <w:gridCol w:w="278"/>
        <w:gridCol w:w="279"/>
        <w:gridCol w:w="109"/>
        <w:gridCol w:w="109"/>
        <w:gridCol w:w="109"/>
        <w:gridCol w:w="511"/>
        <w:gridCol w:w="225"/>
        <w:gridCol w:w="114"/>
        <w:gridCol w:w="114"/>
        <w:gridCol w:w="114"/>
        <w:gridCol w:w="114"/>
        <w:gridCol w:w="511"/>
        <w:gridCol w:w="225"/>
        <w:gridCol w:w="114"/>
        <w:gridCol w:w="109"/>
        <w:gridCol w:w="109"/>
        <w:gridCol w:w="109"/>
        <w:gridCol w:w="330"/>
        <w:gridCol w:w="333"/>
        <w:gridCol w:w="109"/>
        <w:gridCol w:w="109"/>
        <w:gridCol w:w="109"/>
        <w:gridCol w:w="109"/>
        <w:gridCol w:w="219"/>
        <w:gridCol w:w="219"/>
        <w:gridCol w:w="256"/>
        <w:gridCol w:w="109"/>
        <w:gridCol w:w="109"/>
        <w:gridCol w:w="109"/>
        <w:gridCol w:w="484"/>
        <w:gridCol w:w="268"/>
        <w:gridCol w:w="113"/>
        <w:gridCol w:w="113"/>
        <w:gridCol w:w="113"/>
        <w:gridCol w:w="113"/>
        <w:gridCol w:w="484"/>
        <w:gridCol w:w="268"/>
        <w:gridCol w:w="113"/>
        <w:gridCol w:w="109"/>
        <w:gridCol w:w="109"/>
        <w:gridCol w:w="109"/>
        <w:gridCol w:w="331"/>
        <w:gridCol w:w="332"/>
        <w:gridCol w:w="109"/>
        <w:gridCol w:w="109"/>
        <w:gridCol w:w="109"/>
        <w:gridCol w:w="109"/>
        <w:gridCol w:w="210"/>
        <w:gridCol w:w="211"/>
        <w:gridCol w:w="310"/>
      </w:tblGrid>
      <w:tr>
        <w:trPr/>
        <w:tc>
          <w:tcPr>
            <w:tcW w:w="60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revenue,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105,751 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109,085 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201,307 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214,735 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Collaboration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106,311 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109,977 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205,922 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216,464 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(10,542)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3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product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(48,162)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(43,003)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(86,477)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(81,455)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collaboration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(61,766)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(50,614)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(127,357)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(111,343)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(72,872)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(71,038)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(137,942)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(134,460)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1" w:type="dxa"/>
            <w:gridSpan w:val="3"/>
            <w:tcBorders/>
            <w:vAlign w:val="center"/>
          </w:tcPr>
          <w:p>
            <w:pPr>
              <w:pStyle w:val="TableContents"/>
              <w:bidi w:val="0"/>
              <w:spacing w:before="0" w:after="283"/>
              <w:jc w:val="left"/>
              <w:rPr>
                <w:sz w:val="4"/>
                <w:szCs w:val="4"/>
              </w:rPr>
            </w:pPr>
            <w:r>
              <w:rPr>
                <w:sz w:val="4"/>
                <w:szCs w:val="4"/>
              </w:rPr>
            </w:r>
          </w:p>
        </w:tc>
      </w:tr>
      <w:tr>
        <w:trPr/>
        <w:tc>
          <w:tcPr>
            <w:tcW w:w="1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(76,489)</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(54,895)</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(21,594)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(145,874)</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(111,206)</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(34,668)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3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8,843 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12,326 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17,449 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Foreign currency gains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15,065 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29,902 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757 </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Loss before income tax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(51,847)</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(40,727)</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(11,120)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(101,423)</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(89,165)</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(12,258)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(50,825)</w:t>
            </w:r>
          </w:p>
        </w:tc>
        <w:tc>
          <w:tcPr>
            <w:tcW w:w="11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(40,727)</w:t>
            </w:r>
          </w:p>
        </w:tc>
        <w:tc>
          <w:tcPr>
            <w:tcW w:w="11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(10,098)</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2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(101,841)</w:t>
            </w:r>
          </w:p>
        </w:tc>
        <w:tc>
          <w:tcPr>
            <w:tcW w:w="113"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(89,165)</w:t>
            </w:r>
          </w:p>
        </w:tc>
        <w:tc>
          <w:tcPr>
            <w:tcW w:w="113"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(12,676)</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31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Product Revenue, Net</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net revenue by commercial program ($ in thousands):</w:t>
      </w:r>
    </w:p>
    <w:tbl>
      <w:tblPr>
        <w:tblW w:w="10205" w:type="dxa"/>
        <w:jc w:val="left"/>
        <w:tblInd w:w="0" w:type="dxa"/>
        <w:tblLayout w:type="fixed"/>
        <w:tblCellMar>
          <w:top w:w="28" w:type="dxa"/>
          <w:left w:w="28" w:type="dxa"/>
          <w:bottom w:w="28" w:type="dxa"/>
          <w:right w:w="28" w:type="dxa"/>
        </w:tblCellMar>
      </w:tblPr>
      <w:tblGrid>
        <w:gridCol w:w="470"/>
        <w:gridCol w:w="413"/>
        <w:gridCol w:w="416"/>
        <w:gridCol w:w="109"/>
        <w:gridCol w:w="109"/>
        <w:gridCol w:w="109"/>
        <w:gridCol w:w="510"/>
        <w:gridCol w:w="228"/>
        <w:gridCol w:w="121"/>
        <w:gridCol w:w="121"/>
        <w:gridCol w:w="121"/>
        <w:gridCol w:w="121"/>
        <w:gridCol w:w="510"/>
        <w:gridCol w:w="228"/>
        <w:gridCol w:w="121"/>
        <w:gridCol w:w="109"/>
        <w:gridCol w:w="109"/>
        <w:gridCol w:w="109"/>
        <w:gridCol w:w="287"/>
        <w:gridCol w:w="288"/>
        <w:gridCol w:w="109"/>
        <w:gridCol w:w="109"/>
        <w:gridCol w:w="109"/>
        <w:gridCol w:w="109"/>
        <w:gridCol w:w="175"/>
        <w:gridCol w:w="175"/>
        <w:gridCol w:w="256"/>
        <w:gridCol w:w="109"/>
        <w:gridCol w:w="109"/>
        <w:gridCol w:w="109"/>
        <w:gridCol w:w="473"/>
        <w:gridCol w:w="263"/>
        <w:gridCol w:w="119"/>
        <w:gridCol w:w="119"/>
        <w:gridCol w:w="119"/>
        <w:gridCol w:w="119"/>
        <w:gridCol w:w="473"/>
        <w:gridCol w:w="263"/>
        <w:gridCol w:w="119"/>
        <w:gridCol w:w="109"/>
        <w:gridCol w:w="109"/>
        <w:gridCol w:w="109"/>
        <w:gridCol w:w="332"/>
        <w:gridCol w:w="333"/>
        <w:gridCol w:w="109"/>
        <w:gridCol w:w="109"/>
        <w:gridCol w:w="109"/>
        <w:gridCol w:w="109"/>
        <w:gridCol w:w="210"/>
        <w:gridCol w:w="211"/>
        <w:gridCol w:w="311"/>
      </w:tblGrid>
      <w:tr>
        <w:trPr/>
        <w:tc>
          <w:tcPr>
            <w:tcW w:w="47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200"/>
              <w:jc w:val="center"/>
              <w:rPr>
                <w:rFonts w:ascii="Times New Roman;serif" w:hAnsi="Times New Roman;serif"/>
                <w:b/>
                <w:color w:val="000000"/>
                <w:sz w:val="16"/>
              </w:rPr>
            </w:pPr>
            <w:r>
              <w:rPr>
                <w:rFonts w:ascii="Times New Roman;serif" w:hAnsi="Times New Roman;serif"/>
                <w:b/>
                <w:color w:val="000000"/>
                <w:sz w:val="16"/>
              </w:rPr>
              <w:t>%</w:t>
            </w:r>
          </w:p>
        </w:tc>
      </w:tr>
      <w:tr>
        <w:trPr/>
        <w:tc>
          <w:tcPr>
            <w:tcW w:w="12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ZEJULA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32,079 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41,042 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62,046 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90,571 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(28,525)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ind w:left="0" w:right="0" w:hanging="20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VYVGART / VYVGART Hytrulo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23,866 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26,497 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41,417 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44,602 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0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NUZYRA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17,097 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14,292 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33,359 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29,410 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0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OPTUNE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12,202 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12,355 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24,272 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23,718 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0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QINLOCK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9,590 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8,536 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18,575 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17,045 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0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XACDURO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7,957 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16,529 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5,739 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0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AUGTYRO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2,213 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4,005 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3,025 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0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KarXT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552 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552 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00"/>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12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552 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625 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product revenue,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105,751 </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109,085 </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(3,334)</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201,307 </w:t>
            </w:r>
          </w:p>
        </w:tc>
        <w:tc>
          <w:tcPr>
            <w:tcW w:w="1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214,735 </w:t>
            </w:r>
          </w:p>
        </w:tc>
        <w:tc>
          <w:tcPr>
            <w:tcW w:w="1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(13,428)</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3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NM - Not Meaningful</w:t>
      </w:r>
    </w:p>
    <w:p>
      <w:pPr>
        <w:pStyle w:val="TextBody"/>
        <w:bidi w:val="0"/>
        <w:spacing w:lineRule="auto" w:line="333" w:before="18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(i)Other includes product candidates sold in patient programs prior to commercialization. </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product revenue is primarily derived from the sales of our commercial products in mainland China, net of sales returns and rebates to distributors with respect to the sales of these products.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333" w:after="283"/>
        <w:ind w:left="0" w:right="0" w:firstLine="540"/>
        <w:jc w:val="left"/>
        <w:rPr/>
      </w:pPr>
      <w:r>
        <w:rPr/>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net product revenue decreased by $3.3 million and $13.4 million in the three and six months ended June 30, 2026, respectively, primarily driven by decreased revenue for ZEJULA, due to a shift in hospital utilization patterns following volume-based procurement for generic olaparib, and VYVGART, primarily due to a pricing adjustment related to NRDL renewal. These decreases were partially offset by increased sales for XACDURO, driven by strong patient demand and expanding hospital adoption but partially constrained by supply limitations, and increased sales for NUZYRA, supported by increased market coverage and penetration.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Cost of Product Revenue</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Cost of product revenue increased by $5.2 million and $5.0 million in the three and six months ended June 30, 2026, primarily due to a shift in product mix and the inventory write-down in the second quarter in 2026.</w:t>
      </w:r>
    </w:p>
    <w:p>
      <w:pPr>
        <w:pStyle w:val="TextBody"/>
        <w:bidi w:val="0"/>
        <w:spacing w:lineRule="auto" w:line="333" w:before="180" w:after="283"/>
        <w:jc w:val="left"/>
        <w:rPr>
          <w:rFonts w:ascii="Times New Roman;serif" w:hAnsi="Times New Roman;serif"/>
          <w:b/>
          <w:i/>
          <w:color w:val="000000"/>
          <w:sz w:val="20"/>
        </w:rPr>
      </w:pPr>
      <w:r>
        <w:rPr>
          <w:rFonts w:ascii="Times New Roman;serif" w:hAnsi="Times New Roman;serif"/>
          <w:b/>
          <w:i/>
          <w:color w:val="000000"/>
          <w:sz w:val="20"/>
        </w:rPr>
        <w:t>Collaboration Revenue and Cost of Collaboration Revenue</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the three and six months ended June 30, 2026, collaboration revenue increased by $0.3 million and $2.9 million, respectively, mainly related to a regional license and collaboration arrangement. Cost of collaboration revenue was insignificant in the three and six months ended June 30, 2026.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 xml:space="preserve">Research and Development Expenses </w:t>
      </w:r>
    </w:p>
    <w:p>
      <w:pPr>
        <w:pStyle w:val="TextBody"/>
        <w:bidi w:val="0"/>
        <w:spacing w:lineRule="auto" w:line="333" w:before="180" w:after="283"/>
        <w:ind w:left="0" w:right="0" w:firstLine="540"/>
        <w:jc w:val="left"/>
        <w:rPr/>
      </w:pPr>
      <w:r>
        <w:rPr>
          <w:rFonts w:ascii="Times New Roman;serif" w:hAnsi="Times New Roman;serif"/>
          <w:b w:val="false"/>
          <w:color w:val="000000"/>
          <w:sz w:val="20"/>
          <w:shd w:fill="FFFFFF" w:val="clear"/>
        </w:rPr>
        <w:t>The following table presents the components of our research and development expenses</w:t>
      </w:r>
      <w:r>
        <w:rPr>
          <w:color w:val="000000"/>
        </w:rPr>
        <w:t xml:space="preserve"> </w:t>
      </w:r>
      <w:r>
        <w:rPr>
          <w:rFonts w:ascii="Times New Roman;serif" w:hAnsi="Times New Roman;serif"/>
          <w:b w:val="false"/>
          <w:color w:val="000000"/>
          <w:sz w:val="20"/>
        </w:rPr>
        <w:t>($ in thousands):</w:t>
      </w:r>
    </w:p>
    <w:tbl>
      <w:tblPr>
        <w:tblW w:w="10205" w:type="dxa"/>
        <w:jc w:val="left"/>
        <w:tblInd w:w="0" w:type="dxa"/>
        <w:tblLayout w:type="fixed"/>
        <w:tblCellMar>
          <w:top w:w="28" w:type="dxa"/>
          <w:left w:w="28" w:type="dxa"/>
          <w:bottom w:w="28" w:type="dxa"/>
          <w:right w:w="28" w:type="dxa"/>
        </w:tblCellMar>
      </w:tblPr>
      <w:tblGrid>
        <w:gridCol w:w="536"/>
        <w:gridCol w:w="470"/>
        <w:gridCol w:w="472"/>
        <w:gridCol w:w="109"/>
        <w:gridCol w:w="109"/>
        <w:gridCol w:w="109"/>
        <w:gridCol w:w="448"/>
        <w:gridCol w:w="203"/>
        <w:gridCol w:w="122"/>
        <w:gridCol w:w="122"/>
        <w:gridCol w:w="122"/>
        <w:gridCol w:w="122"/>
        <w:gridCol w:w="448"/>
        <w:gridCol w:w="203"/>
        <w:gridCol w:w="122"/>
        <w:gridCol w:w="109"/>
        <w:gridCol w:w="109"/>
        <w:gridCol w:w="109"/>
        <w:gridCol w:w="322"/>
        <w:gridCol w:w="324"/>
        <w:gridCol w:w="109"/>
        <w:gridCol w:w="109"/>
        <w:gridCol w:w="109"/>
        <w:gridCol w:w="109"/>
        <w:gridCol w:w="173"/>
        <w:gridCol w:w="177"/>
        <w:gridCol w:w="256"/>
        <w:gridCol w:w="109"/>
        <w:gridCol w:w="109"/>
        <w:gridCol w:w="109"/>
        <w:gridCol w:w="473"/>
        <w:gridCol w:w="263"/>
        <w:gridCol w:w="120"/>
        <w:gridCol w:w="120"/>
        <w:gridCol w:w="120"/>
        <w:gridCol w:w="120"/>
        <w:gridCol w:w="473"/>
        <w:gridCol w:w="263"/>
        <w:gridCol w:w="120"/>
        <w:gridCol w:w="109"/>
        <w:gridCol w:w="109"/>
        <w:gridCol w:w="109"/>
        <w:gridCol w:w="322"/>
        <w:gridCol w:w="324"/>
        <w:gridCol w:w="109"/>
        <w:gridCol w:w="109"/>
        <w:gridCol w:w="109"/>
        <w:gridCol w:w="109"/>
        <w:gridCol w:w="175"/>
        <w:gridCol w:w="175"/>
        <w:gridCol w:w="315"/>
      </w:tblGrid>
      <w:tr>
        <w:trPr/>
        <w:tc>
          <w:tcPr>
            <w:tcW w:w="53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1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r>
      <w:tr>
        <w:trPr/>
        <w:tc>
          <w:tcPr>
            <w:tcW w:w="1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compensation and related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22,713 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22,447 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41,183 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46,527 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3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Licensing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37,000 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19,997 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CROs/CMOs/Investigators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18,259 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19,935 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37,800 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29,765 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11,374 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15,054 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61,766 </w:t>
            </w:r>
          </w:p>
        </w:tc>
        <w:tc>
          <w:tcPr>
            <w:tcW w:w="1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50,614 </w:t>
            </w:r>
          </w:p>
        </w:tc>
        <w:tc>
          <w:tcPr>
            <w:tcW w:w="1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11,152 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127,357 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111,343 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16,014 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3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NM - Not Meaningful</w:t>
      </w:r>
    </w:p>
    <w:p>
      <w:pPr>
        <w:pStyle w:val="TextBody"/>
        <w:bidi w:val="0"/>
        <w:spacing w:lineRule="auto" w:line="333"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expenses increased by $11.2 million in the three months ended June 30, 2026, primarily due to: </w:t>
      </w:r>
    </w:p>
    <w:p>
      <w:pPr>
        <w:pStyle w:val="TextBody"/>
        <w:bidi w:val="0"/>
        <w:spacing w:lineRule="auto" w:line="333" w:before="180" w:after="283"/>
        <w:ind w:left="0" w:right="0" w:hanging="540"/>
        <w:jc w:val="left"/>
        <w:rPr/>
      </w:pPr>
      <w:r>
        <w:rPr>
          <w:color w:val="000000"/>
        </w:rPr>
        <w:t>•</w:t>
      </w:r>
      <w:r>
        <w:rPr>
          <w:rFonts w:ascii="Times New Roman;serif" w:hAnsi="Times New Roman;serif"/>
          <w:b w:val="false"/>
          <w:color w:val="000000"/>
          <w:sz w:val="20"/>
        </w:rPr>
        <w:t>an increase of $15.0 million in licensing fees in connection with increased milestone fees for our license and collaboration agreements; partially offset by</w:t>
      </w:r>
    </w:p>
    <w:p>
      <w:pPr>
        <w:pStyle w:val="TextBody"/>
        <w:bidi w:val="0"/>
        <w:spacing w:lineRule="auto" w:line="333" w:before="180" w:after="283"/>
        <w:ind w:left="0" w:right="0" w:hanging="540"/>
        <w:jc w:val="left"/>
        <w:rPr/>
      </w:pPr>
      <w:r>
        <w:rPr>
          <w:color w:val="000000"/>
        </w:rPr>
        <w:t>•</w:t>
      </w:r>
      <w:r>
        <w:rPr>
          <w:rFonts w:ascii="Times New Roman;serif" w:hAnsi="Times New Roman;serif"/>
          <w:b w:val="false"/>
          <w:color w:val="000000"/>
          <w:sz w:val="20"/>
        </w:rPr>
        <w:t>a decrease of $4.1 million in CROs/CMOs/Investigators expenses and other clinical and pre-clinical costs.</w:t>
      </w:r>
    </w:p>
    <w:p>
      <w:pPr>
        <w:pStyle w:val="TextBody"/>
        <w:bidi w:val="0"/>
        <w:spacing w:lineRule="auto" w:line="333"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expenses increased by $16.0 million in the six months ended June 30, 2026, primarily due to: </w:t>
      </w:r>
    </w:p>
    <w:p>
      <w:pPr>
        <w:pStyle w:val="TextBody"/>
        <w:bidi w:val="0"/>
        <w:spacing w:lineRule="auto" w:line="333" w:before="180" w:after="283"/>
        <w:ind w:left="0" w:right="0" w:hanging="540"/>
        <w:jc w:val="left"/>
        <w:rPr/>
      </w:pPr>
      <w:r>
        <w:rPr>
          <w:color w:val="000000"/>
        </w:rPr>
        <w:t>•</w:t>
      </w:r>
      <w:r>
        <w:rPr>
          <w:rFonts w:ascii="Times New Roman;serif" w:hAnsi="Times New Roman;serif"/>
          <w:b w:val="false"/>
          <w:color w:val="000000"/>
          <w:sz w:val="20"/>
        </w:rPr>
        <w:t xml:space="preserve">an increase of $17.0 million in licensing fees in connection with increased upfront and milestone fees for our license and collaboration agreements; </w:t>
      </w:r>
    </w:p>
    <w:p>
      <w:pPr>
        <w:pStyle w:val="TextBody"/>
        <w:bidi w:val="0"/>
        <w:spacing w:lineRule="auto" w:line="333" w:before="180" w:after="283"/>
        <w:ind w:left="0" w:right="0" w:hanging="540"/>
        <w:jc w:val="left"/>
        <w:rPr/>
      </w:pPr>
      <w:r>
        <w:rPr>
          <w:color w:val="000000"/>
        </w:rPr>
        <w:t>•</w:t>
      </w:r>
      <w:r>
        <w:rPr>
          <w:rFonts w:ascii="Times New Roman;serif" w:hAnsi="Times New Roman;serif"/>
          <w:b w:val="false"/>
          <w:color w:val="000000"/>
          <w:sz w:val="20"/>
        </w:rPr>
        <w:t>an increase of $4.4 million in CROs/CMOs/Investigators expenses and other clinical and pre-clinical costs; partially offset by</w:t>
      </w:r>
    </w:p>
    <w:p>
      <w:pPr>
        <w:pStyle w:val="TextBody"/>
        <w:bidi w:val="0"/>
        <w:spacing w:lineRule="auto" w:line="333" w:before="180" w:after="283"/>
        <w:ind w:left="0" w:right="0" w:hanging="540"/>
        <w:jc w:val="left"/>
        <w:rPr/>
      </w:pPr>
      <w:r>
        <w:rPr>
          <w:color w:val="000000"/>
        </w:rPr>
        <w:t>•</w:t>
      </w:r>
      <w:r>
        <w:rPr>
          <w:rFonts w:ascii="Times New Roman;serif" w:hAnsi="Times New Roman;serif"/>
          <w:b w:val="false"/>
          <w:color w:val="000000"/>
          <w:sz w:val="20"/>
        </w:rPr>
        <w:t>a decrease of $5.3 million in personnel compensation and related costs primarily driven by our resource prioritization and efficiency efforts.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333" w:after="283"/>
        <w:ind w:left="0" w:right="0" w:firstLine="540"/>
        <w:jc w:val="left"/>
        <w:rPr/>
      </w:pPr>
      <w:r>
        <w:rPr/>
      </w:r>
    </w:p>
    <w:p>
      <w:pPr>
        <w:pStyle w:val="TextBody"/>
        <w:bidi w:val="0"/>
        <w:spacing w:lineRule="auto" w:line="333"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research and development expenses by program ($ in thousands):</w:t>
      </w:r>
    </w:p>
    <w:tbl>
      <w:tblPr>
        <w:tblW w:w="10205" w:type="dxa"/>
        <w:jc w:val="left"/>
        <w:tblInd w:w="0" w:type="dxa"/>
        <w:tblLayout w:type="fixed"/>
        <w:tblCellMar>
          <w:top w:w="28" w:type="dxa"/>
          <w:left w:w="28" w:type="dxa"/>
          <w:bottom w:w="28" w:type="dxa"/>
          <w:right w:w="28" w:type="dxa"/>
        </w:tblCellMar>
      </w:tblPr>
      <w:tblGrid>
        <w:gridCol w:w="687"/>
        <w:gridCol w:w="346"/>
        <w:gridCol w:w="348"/>
        <w:gridCol w:w="109"/>
        <w:gridCol w:w="109"/>
        <w:gridCol w:w="109"/>
        <w:gridCol w:w="448"/>
        <w:gridCol w:w="201"/>
        <w:gridCol w:w="118"/>
        <w:gridCol w:w="118"/>
        <w:gridCol w:w="118"/>
        <w:gridCol w:w="118"/>
        <w:gridCol w:w="448"/>
        <w:gridCol w:w="201"/>
        <w:gridCol w:w="118"/>
        <w:gridCol w:w="109"/>
        <w:gridCol w:w="109"/>
        <w:gridCol w:w="109"/>
        <w:gridCol w:w="322"/>
        <w:gridCol w:w="324"/>
        <w:gridCol w:w="109"/>
        <w:gridCol w:w="109"/>
        <w:gridCol w:w="109"/>
        <w:gridCol w:w="109"/>
        <w:gridCol w:w="210"/>
        <w:gridCol w:w="211"/>
        <w:gridCol w:w="256"/>
        <w:gridCol w:w="109"/>
        <w:gridCol w:w="109"/>
        <w:gridCol w:w="109"/>
        <w:gridCol w:w="473"/>
        <w:gridCol w:w="263"/>
        <w:gridCol w:w="117"/>
        <w:gridCol w:w="117"/>
        <w:gridCol w:w="117"/>
        <w:gridCol w:w="117"/>
        <w:gridCol w:w="473"/>
        <w:gridCol w:w="263"/>
        <w:gridCol w:w="117"/>
        <w:gridCol w:w="109"/>
        <w:gridCol w:w="109"/>
        <w:gridCol w:w="109"/>
        <w:gridCol w:w="322"/>
        <w:gridCol w:w="324"/>
        <w:gridCol w:w="109"/>
        <w:gridCol w:w="109"/>
        <w:gridCol w:w="109"/>
        <w:gridCol w:w="109"/>
        <w:gridCol w:w="209"/>
        <w:gridCol w:w="212"/>
        <w:gridCol w:w="309"/>
      </w:tblGrid>
      <w:tr>
        <w:trPr/>
        <w:tc>
          <w:tcPr>
            <w:tcW w:w="68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Clinical programs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14,792 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16,967 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45,881 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45,059 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Pre-Clinical programs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19,609 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31,325 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8,383 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research and development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27,365 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28,578 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50,151 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57,901 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61,766 </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50,614 </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11,152 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127,357 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111,343 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16,014 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3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three months ended June 30, 2026, research and development expenses attributable to clinical programs decreased by $2.2 million, primarily driven by a decrease in trial costs based on the progress of our studies. Research and development expenses attributable to pre-clinical programs increased by $14.5 million, primarily driven by an increase in licensing fees for our license and collaboration agreements.</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six months ended June 30, 2026, research and development expenses attributable to pre-clinical programs increased by $22.9 million, primarily driven by an increase in licensing fees for our license and collaboration agreements.</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Although we manage our external research and development expenses by program, we do not allocate our internal research and development expenses by program because our employees and internal resources may be engaged in projects for multiple programs at any given time.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 xml:space="preserve">Selling, General, and Administrative Expenses </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selling, general, and administrative expenses by category ($ in thousands):</w:t>
      </w:r>
    </w:p>
    <w:tbl>
      <w:tblPr>
        <w:tblW w:w="10205" w:type="dxa"/>
        <w:jc w:val="left"/>
        <w:tblInd w:w="0" w:type="dxa"/>
        <w:tblLayout w:type="fixed"/>
        <w:tblCellMar>
          <w:top w:w="28" w:type="dxa"/>
          <w:left w:w="28" w:type="dxa"/>
          <w:bottom w:w="28" w:type="dxa"/>
          <w:right w:w="28" w:type="dxa"/>
        </w:tblCellMar>
      </w:tblPr>
      <w:tblGrid>
        <w:gridCol w:w="584"/>
        <w:gridCol w:w="514"/>
        <w:gridCol w:w="515"/>
        <w:gridCol w:w="109"/>
        <w:gridCol w:w="109"/>
        <w:gridCol w:w="109"/>
        <w:gridCol w:w="448"/>
        <w:gridCol w:w="211"/>
        <w:gridCol w:w="146"/>
        <w:gridCol w:w="146"/>
        <w:gridCol w:w="146"/>
        <w:gridCol w:w="146"/>
        <w:gridCol w:w="448"/>
        <w:gridCol w:w="211"/>
        <w:gridCol w:w="146"/>
        <w:gridCol w:w="109"/>
        <w:gridCol w:w="109"/>
        <w:gridCol w:w="109"/>
        <w:gridCol w:w="278"/>
        <w:gridCol w:w="278"/>
        <w:gridCol w:w="109"/>
        <w:gridCol w:w="109"/>
        <w:gridCol w:w="109"/>
        <w:gridCol w:w="109"/>
        <w:gridCol w:w="134"/>
        <w:gridCol w:w="136"/>
        <w:gridCol w:w="256"/>
        <w:gridCol w:w="109"/>
        <w:gridCol w:w="109"/>
        <w:gridCol w:w="109"/>
        <w:gridCol w:w="473"/>
        <w:gridCol w:w="263"/>
        <w:gridCol w:w="140"/>
        <w:gridCol w:w="140"/>
        <w:gridCol w:w="140"/>
        <w:gridCol w:w="140"/>
        <w:gridCol w:w="473"/>
        <w:gridCol w:w="263"/>
        <w:gridCol w:w="140"/>
        <w:gridCol w:w="109"/>
        <w:gridCol w:w="109"/>
        <w:gridCol w:w="109"/>
        <w:gridCol w:w="278"/>
        <w:gridCol w:w="278"/>
        <w:gridCol w:w="109"/>
        <w:gridCol w:w="109"/>
        <w:gridCol w:w="109"/>
        <w:gridCol w:w="109"/>
        <w:gridCol w:w="120"/>
        <w:gridCol w:w="121"/>
        <w:gridCol w:w="313"/>
      </w:tblGrid>
      <w:tr>
        <w:trPr/>
        <w:tc>
          <w:tcPr>
            <w:tcW w:w="58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1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Personnel compensation and related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44,707 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42,679 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85,767 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83,322 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28,165 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28,359 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52,175 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51,138 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72,872 </w:t>
            </w:r>
          </w:p>
        </w:tc>
        <w:tc>
          <w:tcPr>
            <w:tcW w:w="1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71,038 </w:t>
            </w:r>
          </w:p>
        </w:tc>
        <w:tc>
          <w:tcPr>
            <w:tcW w:w="1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137,942 </w:t>
            </w:r>
          </w:p>
        </w:tc>
        <w:tc>
          <w:tcPr>
            <w:tcW w:w="1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134,460 </w:t>
            </w:r>
          </w:p>
        </w:tc>
        <w:tc>
          <w:tcPr>
            <w:tcW w:w="1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3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333"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remained relatively flat in the three and six months ended June 30, 2026, compared to the prior year periods, reflecting continued efforts to streamline the organization, optimize resource allocation, and enhance operating efficiency as the company advances its next phase of growth.</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Interest Income </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Interest income decreased by $3.0 million and $5.1 million in the three and six months ended June 30, 2026, respectively, primarily due to decreased interest rates.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Interest expense increased by $0.3 million and $0.8 million in the three and six months ended June 30, 2026, respectively, primarily due to higher levels of short-term debt.</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Foreign Currency Gains</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Foreign currency gains increased by $12.2 million and $26.4 million in the three and six months ended June 30, 2026, respectively, primarily due to appreciation of the RMB against the U.S. dollar.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333" w:after="283"/>
        <w:ind w:left="0" w:right="0" w:firstLine="54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Other Income, Net </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Other income, net increased by $1.5 million and $1.9 million in the three and six months ended June 30, 2026, respectively, primarily due to higher government grants.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 xml:space="preserve">Income Tax Expense </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Income tax benefit was $1.0 million in the three months ended June 30, 2026 primarily due to the deferred tax assets recognized related to the inventory provision as of June 30, 2026. Income tax expense was $0.4 million in the six months ended June 30, 2026 attributable to taxable income in certain Chinese entities. Income tax expense was nil in both the three and six months ended June 30, 2025 as the Company’s subsidiaries were in cumulative loss positions.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Net Loss</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Net loss was $50.8 million in the three months ended June 30, 2026, or a loss per ordinary share attributable to shareholders of $0.05 (or loss per ADS of $0.46), compared to a net loss of $40.7 million in the three months ended June 30, 2025, or a loss per ordinary share of $0.04 (or loss per ADS of $0.37). </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Net loss was $101.8 million in the six months ended June 30, 2026, or a loss per ordinary share attributable to shareholders of $0.09 (or loss per ADS of $0.92), compared to a net loss of $89.2 million in the six months ended June 30, 2025, or a loss per ordinary share of $0.08 (or loss per ADS of $0.82).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Critical Accounting Policies and Significant Judgments and Estimates </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prepare our financial statements in conformity with U.S. GAAP, which requires management to make judgments, estimates, and assumptions that affect the reported amounts of assets, liabilities, revenues, expenses, and related disclosures. Some of those judgments can be subjective and complex. Actual results could differ from our estimates. </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most critical accounting policies and estimates, including those that require the most difficult, subjective, or complex judgments and are the most inherently uncertain, are described below.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 xml:space="preserve">Revenue Recognition </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sell our products to distributors (our customers), who ultimately sell the products to healthcare providers, primarily in mainland China. We recognize revenue when the performance obligations are satisfied upon the product’s delivery to distributors. </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offer rebates to our distributors to compensate the distributors consistent with pharmaceutical industry practices. We are required to establish a provision for rebates in the same period the related product sales are recognized. The estimated amount of rebates, if any, is recorded as a reduction of revenue.</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Significant judgments are required in making these estimates. In determining the appropriate accrual amount, we consider our contracted rates, sales volumes, levels of distributor inventories, and historical experiences and trends. If actual results vary from our estimates or our expectations change, we will adjust these estimates accordingly, which would affect net product revenue and earnings in the period such variances become expected or known.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 xml:space="preserve">Research and Development Expenses </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have a significant amount of research and development expenses, including with respect to pre-clinical and clinical trials for our product candidates. Such costs are expensed as incurred when they have no alternative future uses. </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contract with third parties to perform various pre-clinical and clinical trial activities on our behalf in the ongoing development of our product candidates. Expenses related to pre-clinical and clinical trial activities are accrued based on the Company’s estimates of the actual services performed by the third parties, such as CROs and CMOs.</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Significant judgments are required in estimating the actual services performed by the third parties for the respective period and the related expense accruals. In determining the appropriate accrual, we consider a variety of factors, including contractual requirements with respect to services to be provided, related rates, and our assessment of services performed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333" w:after="283"/>
        <w:ind w:left="0" w:right="0" w:firstLine="540"/>
        <w:jc w:val="left"/>
        <w:rPr/>
      </w:pPr>
      <w:r>
        <w:rPr/>
      </w:r>
    </w:p>
    <w:p>
      <w:pPr>
        <w:pStyle w:val="TextBody"/>
        <w:bidi w:val="0"/>
        <w:spacing w:lineRule="auto" w:line="333"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period and progress with respect to any contractual milestones when we have not yet been invoiced or otherwise notified by third parties of actual costs. If the actual status and timing of services performed vary from our estimates, our reported expenses and earnings for the corresponding period may be affected.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 xml:space="preserve">Share-Based Compensation </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grant share-based awards, including share options and restricted shares, to eligible employees and directors. Such share-based awards are measured at grant date fair value. </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Significant assumptions are required in determining the fair value of share options, which we estimate using the Black-Scholes option valuation model. These assumptions include: (i) the volatility of our ADS price, (ii) the periods of time over which grantees are expected to hold their options prior to exercise (expected term), (iii) the expected dividend yield on our ADSs, and (iv) risk-free interest rates. Since we do not have sufficient historical information to develop reasonable expectations about future exercise patterns and post-vesting employment termination behavior, the expected term is derived from the average midpoint between the weighted-average vesting and the contractual term, also known as the simplified method. The expected dividend yield is zero as we have never paid dividends and do not currently anticipate paying any in the foreseeable future, and risk-free interest rates are based on quoted U.S. Treasury rates for securities with maturities approximating the expected term. If actual results vary from our estimates or our expectations change, our reported expenses and earnings for the corresponding period may be affected.</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 xml:space="preserve">Income Taxes </w:t>
      </w:r>
    </w:p>
    <w:p>
      <w:pPr>
        <w:pStyle w:val="TextBody"/>
        <w:bidi w:val="0"/>
        <w:spacing w:lineRule="auto" w:line="333" w:before="180" w:after="283"/>
        <w:ind w:left="0" w:right="0" w:firstLine="540"/>
        <w:jc w:val="left"/>
        <w:rPr/>
      </w:pPr>
      <w:r>
        <w:rPr>
          <w:rFonts w:ascii="Times New Roman;serif" w:hAnsi="Times New Roman;serif"/>
          <w:b w:val="false"/>
          <w:color w:val="000000"/>
          <w:sz w:val="20"/>
        </w:rPr>
        <w:t xml:space="preserve">We recognize deferred tax assets and liabilities for temporary differences between the financial statement and income tax bases of assets and liabilities, which are measured using enacted tax rates and laws that will be in effect when the differences are expected to reverse. A valuation allowance is provided when it is more likely than not that some or all of a deferred tax asset will not be realized. Significant judgements are required when evaluating tax positions in accordance with ASC 740, </w:t>
      </w:r>
      <w:r>
        <w:rPr>
          <w:rFonts w:ascii="Times New Roman;serif" w:hAnsi="Times New Roman;serif"/>
          <w:b w:val="false"/>
          <w:i/>
          <w:color w:val="000000"/>
          <w:sz w:val="20"/>
        </w:rPr>
        <w:t>Income Taxes</w:t>
      </w:r>
      <w:r>
        <w:rPr>
          <w:rFonts w:ascii="Times New Roman;serif" w:hAnsi="Times New Roman;serif"/>
          <w:b w:val="false"/>
          <w:color w:val="000000"/>
          <w:sz w:val="20"/>
        </w:rPr>
        <w:t xml:space="preserve">. </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recognize in our financial statements the benefit of a tax position if the tax position is “more likely than not” to prevail based on the facts and technical merits of the position. Tax positions that meet the “more likely than not” recognition threshold are measured at the largest amount of tax benefit that has a greater than fifty percent likelihood of being realized upon settlement. We estimate our liability for unrecognized tax benefits which are periodically assessed and may be affected by changing interpretations of laws, rulings by tax authorities, changes and/or developments with respect to tax audits, and the expiration of the applicable statute of limitations. The ultimate outcome for a particular tax position may not be determined with certainty prior to the conclusion of a tax audit and, in some cases, appeal or litigation process.</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consider positive and negative evidence when determining whether some or all of our deferred tax assets will not be realized. This assessment considers various factors, including the nature, frequency, and severity of current and cumulative losses, forecasts of future profitability, the duration of statutory carry-forward periods, our historical results of operations, and our tax planning strategies. The ultimate realization of deferred tax assets is dependent upon the generation of future taxable income during the periods in which those temporary differences become deductible. Our estimates may be affected by changing interpretations of laws, rulings by tax authorities, changes and/or developments with respect to tax audits, and expiration of the statute of limitations. If actual benefits vary from our estimates or our expectations change, we will adjust the recognition and measurement estimates accordingly, which would affect reported expenses and earnings in the corresponding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To date, we have financed our activities primarily through private placements and public offerings, including our September 2017 initial public offering and various follow-on offerings on Nasdaq and our September 2020 secondary listing and initial public offering on the Hong Kong Stock Exchange. We have raised approximately $164.6 million in private equity financing and approximately $2,677.8 million in net proceeds from public offerings after deducting underwriting commissions and the offering expenses payable by us. Our operations have consumed substantial amounts of cash since inception. The net cash used in our operating activities was $75.3 million and $92.7 million in the six months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333" w:after="283"/>
        <w:ind w:left="0" w:right="0" w:firstLine="540"/>
        <w:jc w:val="left"/>
        <w:rPr/>
      </w:pPr>
      <w:r>
        <w:rPr/>
      </w:r>
    </w:p>
    <w:p>
      <w:pPr>
        <w:pStyle w:val="TextBody"/>
        <w:bidi w:val="0"/>
        <w:spacing w:lineRule="auto" w:line="333" w:before="180" w:after="283"/>
        <w:jc w:val="left"/>
        <w:rPr/>
      </w:pPr>
      <w:r>
        <w:rPr>
          <w:rFonts w:ascii="Times New Roman;serif" w:hAnsi="Times New Roman;serif"/>
          <w:b w:val="false"/>
          <w:color w:val="000000"/>
          <w:sz w:val="20"/>
        </w:rPr>
        <w:t xml:space="preserve">ended June 30, 2026 and 2025, respectively. For information on our research and development activities and related expenditures, see the </w:t>
      </w:r>
      <w:r>
        <w:rPr>
          <w:rFonts w:ascii="Times New Roman;serif" w:hAnsi="Times New Roman;serif"/>
          <w:b w:val="false"/>
          <w:i/>
          <w:color w:val="000000"/>
          <w:sz w:val="20"/>
        </w:rPr>
        <w:t>Research and Development Expenses, Selling, General, and Administrative Expenses, License and Collaboration Arrangements,</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Results of Operations</w:t>
      </w:r>
      <w:r>
        <w:rPr>
          <w:color w:val="000000"/>
        </w:rPr>
        <w:t xml:space="preserve"> </w:t>
      </w:r>
      <w:r>
        <w:rPr>
          <w:rFonts w:ascii="Times New Roman;serif" w:hAnsi="Times New Roman;serif"/>
          <w:b w:val="false"/>
          <w:color w:val="000000"/>
          <w:sz w:val="20"/>
        </w:rPr>
        <w:t>sections above. In addition, as of June 30, 2026, we had commitments of $1.8 million related to commercial manufacturing development activities and capital expenditures.</w:t>
      </w:r>
    </w:p>
    <w:p>
      <w:pPr>
        <w:pStyle w:val="TextBody"/>
        <w:bidi w:val="0"/>
        <w:spacing w:lineRule="auto" w:line="333" w:before="180" w:after="283"/>
        <w:ind w:left="0" w:right="0" w:firstLine="540"/>
        <w:jc w:val="left"/>
        <w:rPr/>
      </w:pPr>
      <w:r>
        <w:rPr>
          <w:rFonts w:ascii="Times New Roman;serif" w:hAnsi="Times New Roman;serif"/>
          <w:b w:val="false"/>
          <w:color w:val="000000"/>
          <w:sz w:val="20"/>
        </w:rPr>
        <w:t xml:space="preserve">We have also identified opportunities to access capital through debt arrangements on favorable commercial terms. As of June 30, 2026, we had such debt arrangements with Chinese financial institutions that allow certain of our subsidiaries to borrow up to approximately $320.0 million (or RMB2,271.7 million) to support our working capital needs in mainland China. As of June 30, 2026, we had short-term debt outstanding of $238.1 million (or RMB1,479.5 million) pursuant to these debt arrangements. These debt arrangements provide us with additional capital capacity that will give us enhanced flexibility to execute our corporate strategic goals. For more information, see </w:t>
      </w:r>
      <w:r>
        <w:rPr>
          <w:rFonts w:ascii="Times New Roman;serif" w:hAnsi="Times New Roman;serif"/>
          <w:b w:val="false"/>
          <w:i/>
          <w:color w:val="000000"/>
          <w:sz w:val="20"/>
        </w:rPr>
        <w:t>Note 10.</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we had cash and cash equivalents, current restricted cash, and short-term investments of $717.5 million, which we expect will enable us to meet our cash requirements including the funding of operating expenses, capital expenditures, and debt obligations for at least the next 12 months. </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Although we believe that we have sufficient capital to fund our operations for at least the next twelve months, we may, from time to time, utilize debt arrangements on favorable commercial terms, subject to lenders’ assessment of our financial position including our cash balances, or consider additional funding sources to bring to fruition our strategic objectives. There can be no assurances that such funding will be made available to us on acceptable terms or at all. </w:t>
      </w:r>
    </w:p>
    <w:p>
      <w:pPr>
        <w:pStyle w:val="TextBody"/>
        <w:bidi w:val="0"/>
        <w:spacing w:lineRule="auto" w:line="333"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information regarding our cash flows ($ in thousands): </w:t>
      </w:r>
    </w:p>
    <w:tbl>
      <w:tblPr>
        <w:tblW w:w="10205" w:type="dxa"/>
        <w:jc w:val="left"/>
        <w:tblInd w:w="0" w:type="dxa"/>
        <w:tblLayout w:type="fixed"/>
        <w:tblCellMar>
          <w:top w:w="28" w:type="dxa"/>
          <w:left w:w="28" w:type="dxa"/>
          <w:bottom w:w="28" w:type="dxa"/>
          <w:right w:w="28" w:type="dxa"/>
        </w:tblCellMar>
      </w:tblPr>
      <w:tblGrid>
        <w:gridCol w:w="2164"/>
        <w:gridCol w:w="1881"/>
        <w:gridCol w:w="1886"/>
        <w:gridCol w:w="109"/>
        <w:gridCol w:w="109"/>
        <w:gridCol w:w="109"/>
        <w:gridCol w:w="392"/>
        <w:gridCol w:w="392"/>
        <w:gridCol w:w="162"/>
        <w:gridCol w:w="160"/>
        <w:gridCol w:w="160"/>
        <w:gridCol w:w="160"/>
        <w:gridCol w:w="413"/>
        <w:gridCol w:w="413"/>
        <w:gridCol w:w="162"/>
        <w:gridCol w:w="109"/>
        <w:gridCol w:w="109"/>
        <w:gridCol w:w="109"/>
        <w:gridCol w:w="442"/>
        <w:gridCol w:w="446"/>
        <w:gridCol w:w="318"/>
      </w:tblGrid>
      <w:tr>
        <w:trPr/>
        <w:tc>
          <w:tcPr>
            <w:tcW w:w="2164"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5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5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5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(75,318)</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(92,723)</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17,405 </w:t>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(23,705)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323,211 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(346,916)</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51,990 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(27,712)</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exchange rate changes on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2,571 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(72,049)</w:t>
            </w:r>
          </w:p>
        </w:tc>
        <w:tc>
          <w:tcPr>
            <w:tcW w:w="1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282,603 </w:t>
            </w:r>
          </w:p>
        </w:tc>
        <w:tc>
          <w:tcPr>
            <w:tcW w:w="1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(354,652)</w:t>
            </w:r>
          </w:p>
        </w:tc>
        <w:tc>
          <w:tcPr>
            <w:tcW w:w="3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Net Cash Used in Operating Activities </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 decreased by $17.4 million in the six months ended June 30, 2026, primarily due to an increase of $61.4 million in net changes in operating assets and liabilities, partially offset by a decrease of $31.3 million in other adjustments to reconcile net loss to net cash used in operating activities and an increase of $12.7 million in net loss.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 xml:space="preserve">Net Cash (Used in) Provided by Investing Activities </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was $23.7 million in the six months ended June 30, 2026, compared to net cash provided by investing activities of $323.2 million in the six months ended June 30, 2025, primarily due to a decrease of $330.0 million in proceeds from the maturity of short-term investments, an increase of $17.6 million from acquisitions of intangible assets, and a decrease of $1.2 million in proceeds from the sale of an equity investment, partially offset by a decrease of $1.9 million in purchases of property and equipment.</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 xml:space="preserve">Net Cash Provided by Financing Activities </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decreased by $27.7 million in the six months ended June 30, 2026, primarily due to an increase of $47.1 million in repayment of short-term bank borrowings, a decrease of $9.7 million in proceeds from exercises of stock options, and an increase of $4.4 million in employee taxes paid related to net share settlement of equity awards, partially offset by an increase of $32.6 million in short-term debt proceeds.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333" w:after="283"/>
        <w:ind w:left="0" w:right="0" w:firstLine="540"/>
        <w:jc w:val="left"/>
        <w:rPr/>
      </w:pPr>
      <w:r>
        <w:rPr/>
      </w:r>
    </w:p>
    <w:p>
      <w:pPr>
        <w:pStyle w:val="TextBody"/>
        <w:bidi w:val="0"/>
        <w:spacing w:lineRule="auto" w:line="288" w:before="240" w:after="283"/>
        <w:jc w:val="left"/>
        <w:rPr/>
      </w:pPr>
      <w:r>
        <w:rPr>
          <w:rFonts w:ascii="Times New Roman;serif" w:hAnsi="Times New Roman;serif"/>
          <w:b/>
          <w:color w:val="000000"/>
          <w:sz w:val="20"/>
        </w:rPr>
        <w:t>Recently Issued Accounting Standards</w:t>
      </w:r>
      <w:r>
        <w:rPr>
          <w:color w:val="000000"/>
        </w:rPr>
        <w:t xml:space="preserve"> </w:t>
      </w:r>
    </w:p>
    <w:p>
      <w:pPr>
        <w:pStyle w:val="TextBody"/>
        <w:bidi w:val="0"/>
        <w:spacing w:lineRule="auto" w:line="333" w:before="180" w:after="283"/>
        <w:ind w:left="0" w:right="0" w:firstLine="540"/>
        <w:jc w:val="left"/>
        <w:rPr/>
      </w:pPr>
      <w:r>
        <w:rPr>
          <w:rFonts w:ascii="Times New Roman;serif" w:hAnsi="Times New Roman;serif"/>
          <w:b w:val="false"/>
          <w:color w:val="000000"/>
          <w:sz w:val="20"/>
        </w:rPr>
        <w:t xml:space="preserve">For more information regarding recently issued accounting standards, see </w:t>
      </w:r>
      <w:r>
        <w:rPr>
          <w:rFonts w:ascii="Times New Roman;serif" w:hAnsi="Times New Roman;serif"/>
          <w:b w:val="false"/>
          <w:i/>
          <w:color w:val="000000"/>
          <w:sz w:val="20"/>
        </w:rPr>
        <w:t>Part II – Item 8. Financial Statements and Supplementary Data – Recent Accounting Pronouncements</w:t>
      </w:r>
      <w:r>
        <w:rPr>
          <w:color w:val="000000"/>
        </w:rPr>
        <w:t xml:space="preserve"> </w:t>
      </w:r>
      <w:r>
        <w:rPr>
          <w:rFonts w:ascii="Times New Roman;serif" w:hAnsi="Times New Roman;serif"/>
          <w:b w:val="false"/>
          <w:color w:val="000000"/>
          <w:sz w:val="20"/>
        </w:rPr>
        <w:t>in our 2025 Annual Report. The Company has not adopted any new accounting standards in the three and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Item 3. Quantitative and Qualitative Disclosures About Market Risk </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are exposed to market risk including foreign exchange risk, credit risk, and interest rate risk.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 xml:space="preserve">Foreign Exchange Risk </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Renminbi, or RMB, is not a freely convertible currency. The State Administration of Foreign Exchange, under the authority of the People’s Bank of China, controls the conversion of RMB into foreign currencies. The value of RMB is subject to changes in central government policies and to international economic and political developments affecting supply and demand in the China Foreign Exchange Trading System market. The cash and cash equivalents of the Company included aggregated amounts of $21.0 million and $25.4 million, which were denominated in RMB, representing 3% and 4% of the cash and cash equivalents as of June 30, 2026 and December 31, 2025, respectively. </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While our financial statements are presented in U.S. dollars, our business mainly operates in mainland China with a significant portion of our transactions settled in RMB, and as such, we do not believe that we currently have significant direct foreign exchange risk and have not used derivative financial instruments to hedge our exposure to such risk. Although, in general, our exposure to foreign exchange risk should be limited, the value of your investment in our ADSs and ordinary shares will be affected by the exchange rate between the U.S. dollar and the RMB and between the HK dollar and the RMB, respectively, because the value of our business is effectively denominated in RMB, while ADSs and ordinary shares are traded in U.S. dollars and HK dollars, respectively. </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value of the RMB against the U.S. dollar and other currencies may fluctuate and is affected by, among other things, changes in Greater China’s political and economic conditions. The conversion of RMB into foreign currencies, including U.S. dollars, has been based on rates set by the People’s Bank of China. </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value of our ADSs and our ordinary shares will be affected by the foreign exchange rates between U.S. dollars, HK dollars, and the RMB. For example, to the extent that we need to convert U.S. dollars or HK dollars into RMB for our operations or if any of our arrangements with other parties are denominated in U.S. dollars or HK dollars and need to be converted into RMB, appreciation of the RMB against the U.S. dollar or the HK dollar would have an adverse effect on the RMB amount we receive from the conversion. Conversely, if we decide to convert RMB into U.S. dollars or HK dollars for the purpose of making payments for dividends on ordinary shares or ADSs or for other business purposes, appreciation of the U.S. dollar or the HK dollar against the RMB would have a negative effect on the conversion amounts available to us. </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Since 1983, the Hong Kong Monetary Authority has pegged the HK dollar to the U.S. dollar at the rate of approximately HK$7.80 to US$1.00. However, there is no assurance that the HK dollar will continue to be pegged to the U.S. dollar or that the HK dollar conversion rate will remain at HK$7.80 to US$1.00. If the HK dollar conversion rate against the U.S. dollar changes and the value of the HK dollar depreciates against the U.S. dollar, our assets denominated in HK dollars will be adversely affected. Additionally, if the Hong Kong Monetary Authority were to repeg the HK dollar to, for example, the RMB rather than the U.S. dollar, or otherwise restrict the conversion of HK dollars into other currencies, then our assets denominated in HK dollars will be adversely affected.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 xml:space="preserve">Credit Risk </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Financial instruments that are potentially subject to significant concentration of credit risk consist of cash and cash equivalents, restricted cash, short-term investments, accounts receivable, and notes receivable. </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carrying amounts of cash and cash equivalents, short-term investments, and restricted cash represent the maximum amount of losses due to credit risk. As of June 30, 2026 and December 31, 2025, we had cash and cash equivalents of $607.5 million and $679.6 million, respectively, restricted cash of $101.1 million, and short-term investments of $10.0 million. As of June 30, 2026 and December 31, 2025, all of our cash and cash equivalents, restricted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333" w:after="283"/>
        <w:ind w:left="0" w:right="0" w:firstLine="540"/>
        <w:jc w:val="left"/>
        <w:rPr/>
      </w:pPr>
      <w:r>
        <w:rPr/>
      </w:r>
    </w:p>
    <w:p>
      <w:pPr>
        <w:pStyle w:val="TextBody"/>
        <w:bidi w:val="0"/>
        <w:spacing w:lineRule="auto" w:line="333"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and short-term investments were held by major financial institutions located in mainland China and international financial institutions outside of mainland China which we believe are of high credit quality and for which we monitor continued credit worthiness. </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Accounts receivable are typically unsecured and are derived from product revenue. We manage credit risk related to our accounts receivable through ongoing monitoring of outstanding balances and limiting the amount of credit extended based upon payment history and credit worthiness. Historically, we have collected receivables from customers within the credit terms with no significant credit losses incurred. As of June 30, 2026, our largest customer accounted for approximately 18% of our total accounts receivable collectively. </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Certain accounts receivable balances are settled in the form of notes receivable. As of June 30, 2026, such notes receivable included bank acceptance promissory notes that are non-interest bearing and due within six months. These notes receivable were used to collect the receivables based on an administrative convenience, given these notes are readily convertible to known amounts of cash. In accordance with the sales agreements, whether to use cash or bank acceptance promissory notes to settle the receivables is at our discretion, and this selection does not impact the agreed contractual purchase prices.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exposed to risks related to changes in interest rates on our cash and cash equivalents, restricted cash, and short-term investments. As of June 30, 2026 and December 31, 2025, we had cash and cash equivalents of $607.5 million and $679.6 million, respectively, restricted cash of $101.1 million, and short-term investments of $10.0 million. Our investment portfolio, which relates to cash equivalents and short-term investments, primarily consists of time deposits. The primary objectives of our investment activities are to preserve principal, provide liquidity, and maximize income without significantly increasing risk. Given the short</w:t>
        <w:noBreakHyphen/>
        <w:t>term nature of our deposits and investments, we believe that a sudden change in market interest rates would not be expected to have a material impact on our financial condition and/or results of operation. For example, a hypothetical 10% relative change in interest rates during any of the periods presented would not have a material impact on future interest income.</w:t>
      </w:r>
    </w:p>
    <w:p>
      <w:pPr>
        <w:pStyle w:val="TextBody"/>
        <w:bidi w:val="0"/>
        <w:spacing w:lineRule="auto" w:line="333" w:before="180" w:after="283"/>
        <w:ind w:left="0" w:right="0" w:firstLine="540"/>
        <w:jc w:val="left"/>
        <w:rPr/>
      </w:pPr>
      <w:r>
        <w:rPr>
          <w:rFonts w:ascii="Times New Roman;serif" w:hAnsi="Times New Roman;serif"/>
          <w:b w:val="false"/>
          <w:color w:val="000000"/>
          <w:sz w:val="20"/>
        </w:rPr>
        <w:t xml:space="preserve">We are also exposed to risks related to changes in interest rates on our short-term debt, which is currently subject to a mix of fixed and floating interest rates. As of June 30, 2026 and December 31, 2025, we had short-term debt of $238.1 million and $204.5 million, respectively. A 100-basis point increase in interest rates would not materially increase our interest expense. Our interest rate exposure from short-term debt is also offset by our exposure in cash and cash equivalents, restricted cash, and short-term investments, as discussed above. For more information on our short-term debt, see </w:t>
      </w:r>
      <w:r>
        <w:rPr>
          <w:rFonts w:ascii="Times New Roman;serif" w:hAnsi="Times New Roman;serif"/>
          <w:b w:val="false"/>
          <w:i/>
          <w:color w:val="000000"/>
          <w:sz w:val="20"/>
        </w:rPr>
        <w:t>Note 10</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Item 4. Controls and Procedures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 xml:space="preserve">Management’s Evaluation of Our Disclosure Controls and Procedures </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management, including our Chief Executive Officer and Chief Financial Officer, performed an evaluation of the effectiveness of our disclosure controls and procedures (as defined in Exchange Act Rule 13a-15(e)) as of the end of the period covered by this report. Our disclosure controls and procedures are designed to ensure that the information required to be disclosed in the reports that we file or furnish under the Exchange Act is recorded, processed, summarized, and reported within the time periods specified in the SEC’s rules and forms and that such information is accumulated and communicated to our management, including our Chief Executive Officer and Chief Financial Officer, to allow timely decisions regarding required disclosure. Any controls and procedures, no matter how well designed and operated, can provide only reasonable assurance of achieving the desired control objective. Based upon that evaluation, our management has concluded that, as of June 30, 2026, our disclosure controls and procedures were effective.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 xml:space="preserve">Changes in Internal Control over Financial Reporting </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There were no changes in our internal control over financial reporting (as such item is defined in Rules 13a-15(f)) during the fiscal quarter ended June 30, 2026 that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333" w:after="283"/>
        <w:ind w:left="0" w:right="0" w:firstLine="540"/>
        <w:jc w:val="left"/>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PART II - OTHER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Item 1. Legal Proceedings. </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may be, from time to time, subject to claims and suits arising in the ordinary course of business. We are not currently a party to any material legal or administrative proceedings.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Item 1A. Risk Factors. </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subject to risks and uncertainties that could, directly or indirectly, adversely affect our business, results of operations, financial condition, liquidity, cash flows, strategies, and/or prospects. There have been no material changes in our risk factors from those disclosed in the “Risk Factors” section of our 2025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Item 2. Unregistered Sales of Equity Securities and Use of Proceeds.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Recent Sales of Unregistered Securities</w:t>
      </w:r>
    </w:p>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None. </w:t>
      </w:r>
    </w:p>
    <w:p>
      <w:pPr>
        <w:pStyle w:val="TextBody"/>
        <w:bidi w:val="0"/>
        <w:spacing w:lineRule="auto" w:line="268" w:before="240" w:after="283"/>
        <w:jc w:val="left"/>
        <w:rPr/>
      </w:pPr>
      <w:r>
        <w:rPr>
          <w:rFonts w:ascii="Times New Roman;serif" w:hAnsi="Times New Roman;serif"/>
          <w:b/>
          <w:color w:val="000000"/>
          <w:sz w:val="20"/>
        </w:rPr>
        <w:t>Issuer Purchases of Equity Securities</w:t>
      </w:r>
      <w:r>
        <w:rPr>
          <w:color w:val="000000"/>
        </w:rPr>
        <w:t xml:space="preserve"> </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acquisitions of the Company’s ADSs to satisfy tax withholding obligations due in connection with exercise of option shares or vesting of restricted shares during the second quarter of 2026:</w:t>
      </w:r>
    </w:p>
    <w:p>
      <w:pPr>
        <w:pStyle w:val="TextBody"/>
        <w:bidi w:val="0"/>
        <w:spacing w:before="0" w:after="0"/>
        <w:ind w:left="0" w:right="0" w:firstLine="540"/>
        <w:jc w:val="left"/>
        <w:rPr/>
      </w:pPr>
      <w:r>
        <w:rPr/>
      </w:r>
    </w:p>
    <w:tbl>
      <w:tblPr>
        <w:tblW w:w="10205" w:type="dxa"/>
        <w:jc w:val="left"/>
        <w:tblInd w:w="0" w:type="dxa"/>
        <w:tblLayout w:type="fixed"/>
        <w:tblCellMar>
          <w:top w:w="28" w:type="dxa"/>
          <w:left w:w="28" w:type="dxa"/>
          <w:bottom w:w="28" w:type="dxa"/>
          <w:right w:w="28" w:type="dxa"/>
        </w:tblCellMar>
      </w:tblPr>
      <w:tblGrid>
        <w:gridCol w:w="325"/>
        <w:gridCol w:w="286"/>
        <w:gridCol w:w="287"/>
        <w:gridCol w:w="729"/>
        <w:gridCol w:w="500"/>
        <w:gridCol w:w="502"/>
        <w:gridCol w:w="469"/>
        <w:gridCol w:w="469"/>
        <w:gridCol w:w="471"/>
        <w:gridCol w:w="889"/>
        <w:gridCol w:w="889"/>
        <w:gridCol w:w="892"/>
        <w:gridCol w:w="1019"/>
        <w:gridCol w:w="1019"/>
        <w:gridCol w:w="1459"/>
      </w:tblGrid>
      <w:tr>
        <w:trPr/>
        <w:tc>
          <w:tcPr>
            <w:tcW w:w="32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r>
      <w:tr>
        <w:trPr/>
        <w:tc>
          <w:tcPr>
            <w:tcW w:w="898" w:type="dxa"/>
            <w:gridSpan w:val="3"/>
            <w:tcBorders>
              <w:top w:val="single" w:sz="8" w:space="0" w:color="B6B6B6"/>
              <w:left w:val="single" w:sz="8" w:space="0" w:color="B6B6B6"/>
            </w:tcBorders>
            <w:tcMar>
              <w:top w:w="52"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Period</w:t>
            </w:r>
          </w:p>
        </w:tc>
        <w:tc>
          <w:tcPr>
            <w:tcW w:w="1731" w:type="dxa"/>
            <w:gridSpan w:val="3"/>
            <w:tcBorders>
              <w:top w:val="single" w:sz="8" w:space="0" w:color="B6B6B6"/>
              <w:left w:val="single" w:sz="8" w:space="0" w:color="B6B6B6"/>
            </w:tcBorders>
            <w:tcMar>
              <w:top w:w="52"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Total Number of Shares (or Units) Purchased</w:t>
            </w:r>
          </w:p>
        </w:tc>
        <w:tc>
          <w:tcPr>
            <w:tcW w:w="1409" w:type="dxa"/>
            <w:gridSpan w:val="3"/>
            <w:tcBorders>
              <w:top w:val="single" w:sz="8" w:space="0" w:color="B6B6B6"/>
              <w:left w:val="single" w:sz="8" w:space="0" w:color="B6B6B6"/>
            </w:tcBorders>
            <w:tcMar>
              <w:top w:w="52"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Average Price Paid per Share (or Unit)</w:t>
            </w:r>
          </w:p>
        </w:tc>
        <w:tc>
          <w:tcPr>
            <w:tcW w:w="2670" w:type="dxa"/>
            <w:gridSpan w:val="3"/>
            <w:tcBorders>
              <w:top w:val="single" w:sz="8" w:space="0" w:color="B6B6B6"/>
              <w:left w:val="single" w:sz="8" w:space="0" w:color="B6B6B6"/>
            </w:tcBorders>
            <w:tcMar>
              <w:top w:w="52"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Total Number of Shares (or Units) Purchased as Part of Publicly Announced Plans or Programs</w:t>
            </w:r>
          </w:p>
        </w:tc>
        <w:tc>
          <w:tcPr>
            <w:tcW w:w="3497" w:type="dxa"/>
            <w:gridSpan w:val="3"/>
            <w:tcBorders>
              <w:top w:val="single" w:sz="8" w:space="0" w:color="B6B6B6"/>
              <w:left w:val="single" w:sz="8" w:space="0" w:color="B6B6B6"/>
              <w:right w:val="single" w:sz="8" w:space="0" w:color="B6B6B6"/>
            </w:tcBorders>
            <w:tcMar>
              <w:top w:w="52" w:type="dxa"/>
              <w:bottom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Maximum Number (or Approximate Dollar Value) of Shares (or Units) that May Yet Be Purchased Under the Plans or Programs</w:t>
            </w:r>
          </w:p>
        </w:tc>
      </w:tr>
      <w:tr>
        <w:trPr/>
        <w:tc>
          <w:tcPr>
            <w:tcW w:w="898" w:type="dxa"/>
            <w:gridSpan w:val="3"/>
            <w:tcBorders>
              <w:top w:val="single" w:sz="8" w:space="0" w:color="B6B6B6"/>
              <w:left w:val="single" w:sz="8" w:space="0" w:color="B6B6B6"/>
            </w:tcBorders>
            <w:tcMar>
              <w:top w:w="52"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April 1 – 30, 2026</w:t>
            </w:r>
          </w:p>
        </w:tc>
        <w:tc>
          <w:tcPr>
            <w:tcW w:w="1731" w:type="dxa"/>
            <w:gridSpan w:val="3"/>
            <w:tcBorders>
              <w:top w:val="single" w:sz="8" w:space="0" w:color="B6B6B6"/>
              <w:left w:val="single" w:sz="8" w:space="0" w:color="B6B6B6"/>
            </w:tcBorders>
            <w:tcMar>
              <w:top w:w="52" w:type="dxa"/>
              <w:bottom w:w="0" w:type="dxa"/>
              <w:right w:w="0" w:type="dxa"/>
            </w:tcMar>
            <w:vAlign w:val="center"/>
          </w:tcPr>
          <w:p>
            <w:pPr>
              <w:pStyle w:val="TableContents"/>
              <w:bidi w:val="0"/>
              <w:spacing w:lineRule="auto" w:line="268" w:before="0" w:after="0"/>
              <w:jc w:val="right"/>
              <w:rPr>
                <w:color w:val="000000"/>
              </w:rPr>
            </w:pPr>
            <w:r>
              <w:rPr>
                <w:color w:val="000000"/>
              </w:rPr>
              <w:t>—</w:t>
            </w:r>
          </w:p>
        </w:tc>
        <w:tc>
          <w:tcPr>
            <w:tcW w:w="1409" w:type="dxa"/>
            <w:gridSpan w:val="3"/>
            <w:tcBorders>
              <w:top w:val="single" w:sz="8" w:space="0" w:color="B6B6B6"/>
              <w:left w:val="single" w:sz="8" w:space="0" w:color="B6B6B6"/>
            </w:tcBorders>
            <w:tcMar>
              <w:top w:w="52" w:type="dxa"/>
              <w:bottom w:w="0" w:type="dxa"/>
              <w:right w:w="0" w:type="dxa"/>
            </w:tcMar>
            <w:vAlign w:val="center"/>
          </w:tcPr>
          <w:p>
            <w:pPr>
              <w:pStyle w:val="TableContents"/>
              <w:bidi w:val="0"/>
              <w:spacing w:lineRule="auto" w:line="268" w:before="0" w:after="0"/>
              <w:jc w:val="right"/>
              <w:rPr>
                <w:color w:val="000000"/>
              </w:rPr>
            </w:pPr>
            <w:r>
              <w:rPr>
                <w:color w:val="000000"/>
              </w:rPr>
              <w:t>—</w:t>
            </w:r>
          </w:p>
        </w:tc>
        <w:tc>
          <w:tcPr>
            <w:tcW w:w="2670" w:type="dxa"/>
            <w:gridSpan w:val="3"/>
            <w:tcBorders>
              <w:top w:val="single" w:sz="8" w:space="0" w:color="B6B6B6"/>
              <w:left w:val="single" w:sz="8" w:space="0" w:color="B6B6B6"/>
            </w:tcBorders>
            <w:tcMar>
              <w:top w:w="52" w:type="dxa"/>
              <w:bottom w:w="0" w:type="dxa"/>
              <w:right w:w="0" w:type="dxa"/>
            </w:tcMar>
            <w:vAlign w:val="center"/>
          </w:tcPr>
          <w:p>
            <w:pPr>
              <w:pStyle w:val="TableContents"/>
              <w:bidi w:val="0"/>
              <w:spacing w:lineRule="auto" w:line="268" w:before="0" w:after="0"/>
              <w:jc w:val="right"/>
              <w:rPr>
                <w:color w:val="000000"/>
              </w:rPr>
            </w:pPr>
            <w:r>
              <w:rPr>
                <w:color w:val="000000"/>
              </w:rPr>
              <w:t>—</w:t>
            </w:r>
          </w:p>
        </w:tc>
        <w:tc>
          <w:tcPr>
            <w:tcW w:w="3497" w:type="dxa"/>
            <w:gridSpan w:val="3"/>
            <w:tcBorders>
              <w:top w:val="single" w:sz="8" w:space="0" w:color="B6B6B6"/>
              <w:left w:val="single" w:sz="8" w:space="0" w:color="B6B6B6"/>
              <w:right w:val="single" w:sz="8" w:space="0" w:color="B6B6B6"/>
            </w:tcBorders>
            <w:tcMar>
              <w:top w:w="52" w:type="dxa"/>
              <w:bottom w:w="0" w:type="dxa"/>
            </w:tcMar>
            <w:vAlign w:val="center"/>
          </w:tcPr>
          <w:p>
            <w:pPr>
              <w:pStyle w:val="TableContents"/>
              <w:bidi w:val="0"/>
              <w:spacing w:lineRule="auto" w:line="268" w:before="0" w:after="0"/>
              <w:jc w:val="right"/>
              <w:rPr>
                <w:color w:val="000000"/>
              </w:rPr>
            </w:pPr>
            <w:r>
              <w:rPr>
                <w:color w:val="000000"/>
              </w:rPr>
              <w:t>—</w:t>
            </w:r>
          </w:p>
        </w:tc>
      </w:tr>
      <w:tr>
        <w:trPr/>
        <w:tc>
          <w:tcPr>
            <w:tcW w:w="898" w:type="dxa"/>
            <w:gridSpan w:val="3"/>
            <w:tcBorders>
              <w:top w:val="single" w:sz="8" w:space="0" w:color="B6B6B6"/>
              <w:left w:val="single" w:sz="8" w:space="0" w:color="B6B6B6"/>
            </w:tcBorders>
            <w:tcMar>
              <w:top w:w="52"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May 1 – 31, 2026</w:t>
            </w:r>
          </w:p>
        </w:tc>
        <w:tc>
          <w:tcPr>
            <w:tcW w:w="1731" w:type="dxa"/>
            <w:gridSpan w:val="3"/>
            <w:tcBorders>
              <w:top w:val="single" w:sz="8" w:space="0" w:color="B6B6B6"/>
              <w:left w:val="single" w:sz="8" w:space="0" w:color="B6B6B6"/>
            </w:tcBorders>
            <w:tcMar>
              <w:top w:w="52" w:type="dxa"/>
              <w:bottom w:w="0" w:type="dxa"/>
              <w:right w:w="0" w:type="dxa"/>
            </w:tcMar>
            <w:vAlign w:val="center"/>
          </w:tcPr>
          <w:p>
            <w:pPr>
              <w:pStyle w:val="TableContents"/>
              <w:bidi w:val="0"/>
              <w:spacing w:lineRule="auto" w:line="268" w:before="0" w:after="0"/>
              <w:jc w:val="right"/>
              <w:rPr>
                <w:color w:val="000000"/>
              </w:rPr>
            </w:pPr>
            <w:r>
              <w:rPr>
                <w:color w:val="000000"/>
              </w:rPr>
              <w:t>—</w:t>
            </w:r>
          </w:p>
        </w:tc>
        <w:tc>
          <w:tcPr>
            <w:tcW w:w="1409" w:type="dxa"/>
            <w:gridSpan w:val="3"/>
            <w:tcBorders>
              <w:top w:val="single" w:sz="8" w:space="0" w:color="B6B6B6"/>
              <w:left w:val="single" w:sz="8" w:space="0" w:color="B6B6B6"/>
            </w:tcBorders>
            <w:tcMar>
              <w:top w:w="52" w:type="dxa"/>
              <w:bottom w:w="0" w:type="dxa"/>
              <w:right w:w="0" w:type="dxa"/>
            </w:tcMar>
            <w:vAlign w:val="center"/>
          </w:tcPr>
          <w:p>
            <w:pPr>
              <w:pStyle w:val="TableContents"/>
              <w:bidi w:val="0"/>
              <w:spacing w:lineRule="auto" w:line="268" w:before="0" w:after="0"/>
              <w:jc w:val="right"/>
              <w:rPr>
                <w:color w:val="000000"/>
              </w:rPr>
            </w:pPr>
            <w:r>
              <w:rPr>
                <w:color w:val="000000"/>
              </w:rPr>
              <w:t>—</w:t>
            </w:r>
          </w:p>
        </w:tc>
        <w:tc>
          <w:tcPr>
            <w:tcW w:w="2670" w:type="dxa"/>
            <w:gridSpan w:val="3"/>
            <w:tcBorders>
              <w:top w:val="single" w:sz="8" w:space="0" w:color="B6B6B6"/>
              <w:left w:val="single" w:sz="8" w:space="0" w:color="B6B6B6"/>
            </w:tcBorders>
            <w:tcMar>
              <w:top w:w="52" w:type="dxa"/>
              <w:bottom w:w="0" w:type="dxa"/>
              <w:right w:w="0" w:type="dxa"/>
            </w:tcMar>
            <w:vAlign w:val="center"/>
          </w:tcPr>
          <w:p>
            <w:pPr>
              <w:pStyle w:val="TableContents"/>
              <w:bidi w:val="0"/>
              <w:spacing w:lineRule="auto" w:line="268" w:before="0" w:after="0"/>
              <w:jc w:val="right"/>
              <w:rPr>
                <w:color w:val="000000"/>
              </w:rPr>
            </w:pPr>
            <w:r>
              <w:rPr>
                <w:color w:val="000000"/>
              </w:rPr>
              <w:t>—</w:t>
            </w:r>
          </w:p>
        </w:tc>
        <w:tc>
          <w:tcPr>
            <w:tcW w:w="3497" w:type="dxa"/>
            <w:gridSpan w:val="3"/>
            <w:tcBorders>
              <w:top w:val="single" w:sz="8" w:space="0" w:color="B6B6B6"/>
              <w:left w:val="single" w:sz="8" w:space="0" w:color="B6B6B6"/>
              <w:right w:val="single" w:sz="8" w:space="0" w:color="B6B6B6"/>
            </w:tcBorders>
            <w:tcMar>
              <w:top w:w="52" w:type="dxa"/>
              <w:bottom w:w="0" w:type="dxa"/>
            </w:tcMar>
            <w:vAlign w:val="center"/>
          </w:tcPr>
          <w:p>
            <w:pPr>
              <w:pStyle w:val="TableContents"/>
              <w:bidi w:val="0"/>
              <w:spacing w:lineRule="auto" w:line="268" w:before="0" w:after="0"/>
              <w:jc w:val="right"/>
              <w:rPr>
                <w:color w:val="000000"/>
              </w:rPr>
            </w:pPr>
            <w:r>
              <w:rPr>
                <w:color w:val="000000"/>
              </w:rPr>
              <w:t>—</w:t>
            </w:r>
          </w:p>
        </w:tc>
      </w:tr>
      <w:tr>
        <w:trPr/>
        <w:tc>
          <w:tcPr>
            <w:tcW w:w="898" w:type="dxa"/>
            <w:gridSpan w:val="3"/>
            <w:tcBorders>
              <w:top w:val="single" w:sz="8" w:space="0" w:color="B6B6B6"/>
              <w:left w:val="single" w:sz="8" w:space="0" w:color="B6B6B6"/>
            </w:tcBorders>
            <w:tcMar>
              <w:top w:w="52"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June 1 – 30, 2026</w:t>
            </w:r>
          </w:p>
        </w:tc>
        <w:tc>
          <w:tcPr>
            <w:tcW w:w="1229" w:type="dxa"/>
            <w:gridSpan w:val="2"/>
            <w:tcBorders>
              <w:top w:val="single" w:sz="8" w:space="0" w:color="B6B6B6"/>
              <w:left w:val="single" w:sz="8" w:space="0" w:color="B6B6B6"/>
            </w:tcBorders>
            <w:tcMar>
              <w:top w:w="52"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117,435 </w:t>
            </w:r>
          </w:p>
        </w:tc>
        <w:tc>
          <w:tcPr>
            <w:tcW w:w="502" w:type="dxa"/>
            <w:tcBorders>
              <w:top w:val="single" w:sz="8" w:space="0" w:color="B6B6B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B6B6B6"/>
              <w:left w:val="single" w:sz="8" w:space="0" w:color="B6B6B6"/>
            </w:tcBorders>
            <w:tcMar>
              <w:top w:w="52"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w:t>
            </w:r>
          </w:p>
        </w:tc>
        <w:tc>
          <w:tcPr>
            <w:tcW w:w="2670" w:type="dxa"/>
            <w:gridSpan w:val="3"/>
            <w:tcBorders>
              <w:top w:val="single" w:sz="8" w:space="0" w:color="B6B6B6"/>
              <w:left w:val="single" w:sz="8" w:space="0" w:color="B6B6B6"/>
            </w:tcBorders>
            <w:tcMar>
              <w:top w:w="52" w:type="dxa"/>
              <w:bottom w:w="0" w:type="dxa"/>
              <w:right w:w="0" w:type="dxa"/>
            </w:tcMar>
            <w:vAlign w:val="center"/>
          </w:tcPr>
          <w:p>
            <w:pPr>
              <w:pStyle w:val="TableContents"/>
              <w:bidi w:val="0"/>
              <w:spacing w:lineRule="auto" w:line="268" w:before="0" w:after="0"/>
              <w:jc w:val="right"/>
              <w:rPr>
                <w:color w:val="000000"/>
              </w:rPr>
            </w:pPr>
            <w:r>
              <w:rPr>
                <w:color w:val="000000"/>
              </w:rPr>
              <w:t>—</w:t>
            </w:r>
          </w:p>
        </w:tc>
        <w:tc>
          <w:tcPr>
            <w:tcW w:w="3497" w:type="dxa"/>
            <w:gridSpan w:val="3"/>
            <w:tcBorders>
              <w:top w:val="single" w:sz="8" w:space="0" w:color="B6B6B6"/>
              <w:left w:val="single" w:sz="8" w:space="0" w:color="B6B6B6"/>
              <w:right w:val="single" w:sz="8" w:space="0" w:color="B6B6B6"/>
            </w:tcBorders>
            <w:tcMar>
              <w:top w:w="52" w:type="dxa"/>
              <w:bottom w:w="0" w:type="dxa"/>
            </w:tcMar>
            <w:vAlign w:val="center"/>
          </w:tcPr>
          <w:p>
            <w:pPr>
              <w:pStyle w:val="TableContents"/>
              <w:bidi w:val="0"/>
              <w:spacing w:lineRule="auto" w:line="268" w:before="0" w:after="0"/>
              <w:jc w:val="right"/>
              <w:rPr>
                <w:color w:val="000000"/>
              </w:rPr>
            </w:pPr>
            <w:r>
              <w:rPr>
                <w:color w:val="000000"/>
              </w:rPr>
              <w:t>—</w:t>
            </w:r>
          </w:p>
        </w:tc>
      </w:tr>
      <w:tr>
        <w:trPr/>
        <w:tc>
          <w:tcPr>
            <w:tcW w:w="898" w:type="dxa"/>
            <w:gridSpan w:val="3"/>
            <w:tcBorders>
              <w:top w:val="single" w:sz="8" w:space="0" w:color="B6B6B6"/>
              <w:left w:val="single" w:sz="8" w:space="0" w:color="B6B6B6"/>
              <w:bottom w:val="single" w:sz="8" w:space="0" w:color="B6B6B6"/>
            </w:tcBorders>
            <w:tcMar>
              <w:top w:w="52" w:type="dxa"/>
              <w:bottom w:w="3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229" w:type="dxa"/>
            <w:gridSpan w:val="2"/>
            <w:tcBorders>
              <w:top w:val="single" w:sz="8" w:space="0" w:color="B6B6B6"/>
              <w:left w:val="single" w:sz="8" w:space="0" w:color="B6B6B6"/>
              <w:bottom w:val="single" w:sz="8" w:space="0" w:color="B6B6B6"/>
            </w:tcBorders>
            <w:tcMar>
              <w:top w:w="52"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117,435 </w:t>
            </w:r>
          </w:p>
        </w:tc>
        <w:tc>
          <w:tcPr>
            <w:tcW w:w="502" w:type="dxa"/>
            <w:tcBorders>
              <w:top w:val="single" w:sz="8" w:space="0" w:color="B6B6B6"/>
              <w:bottom w:val="single" w:sz="8" w:space="0" w:color="B6B6B6"/>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B6B6B6"/>
              <w:left w:val="single" w:sz="8" w:space="0" w:color="B6B6B6"/>
              <w:bottom w:val="single" w:sz="8" w:space="0" w:color="B6B6B6"/>
            </w:tcBorders>
            <w:tcMar>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op w:val="single" w:sz="8" w:space="0" w:color="B6B6B6"/>
              <w:left w:val="single" w:sz="8" w:space="0" w:color="B6B6B6"/>
              <w:bottom w:val="single" w:sz="8" w:space="0" w:color="B6B6B6"/>
            </w:tcBorders>
            <w:tcMar>
              <w:right w:w="0" w:type="dxa"/>
            </w:tcMar>
            <w:vAlign w:val="center"/>
          </w:tcPr>
          <w:p>
            <w:pPr>
              <w:pStyle w:val="TableContents"/>
              <w:bidi w:val="0"/>
              <w:spacing w:before="0" w:after="283"/>
              <w:jc w:val="left"/>
              <w:rPr>
                <w:sz w:val="4"/>
                <w:szCs w:val="4"/>
              </w:rPr>
            </w:pPr>
            <w:r>
              <w:rPr>
                <w:sz w:val="4"/>
                <w:szCs w:val="4"/>
              </w:rPr>
            </w:r>
          </w:p>
        </w:tc>
        <w:tc>
          <w:tcPr>
            <w:tcW w:w="3497" w:type="dxa"/>
            <w:gridSpan w:val="3"/>
            <w:tcBorders>
              <w:top w:val="single" w:sz="8" w:space="0" w:color="B6B6B6"/>
              <w:left w:val="single" w:sz="8" w:space="0" w:color="B6B6B6"/>
              <w:bottom w:val="single" w:sz="8" w:space="0" w:color="B6B6B6"/>
              <w:right w:val="single" w:sz="8" w:space="0" w:color="B6B6B6"/>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Item 3. Defaults Upon Senior Securities. </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Item 4. Mine Safety Disclosures. </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Item 5. Other Information. </w:t>
      </w:r>
    </w:p>
    <w:p>
      <w:pPr>
        <w:pStyle w:val="TextBody"/>
        <w:bidi w:val="0"/>
        <w:spacing w:lineRule="auto" w:line="333"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second quarter of 2026, none of the Company’s directors or executive officers (as defined in Rule 16a-1(f) under the Exchange Act) has adopted, modified, or terminated a Rule 10b5-1 trading arrangement or a non-Rule 10b5-1 trading arrangement (each as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333" w:after="283"/>
        <w:ind w:left="0" w:right="0" w:firstLine="54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306"/>
        <w:gridCol w:w="269"/>
        <w:gridCol w:w="270"/>
        <w:gridCol w:w="109"/>
        <w:gridCol w:w="109"/>
        <w:gridCol w:w="109"/>
        <w:gridCol w:w="2674"/>
        <w:gridCol w:w="2627"/>
        <w:gridCol w:w="3732"/>
      </w:tblGrid>
      <w:tr>
        <w:trPr/>
        <w:tc>
          <w:tcPr>
            <w:tcW w:w="30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4" w:type="dxa"/>
            <w:tcBorders/>
            <w:vAlign w:val="center"/>
          </w:tcPr>
          <w:p>
            <w:pPr>
              <w:pStyle w:val="TableContents"/>
              <w:bidi w:val="0"/>
              <w:spacing w:before="0" w:after="283"/>
              <w:jc w:val="left"/>
              <w:rPr>
                <w:sz w:val="4"/>
                <w:szCs w:val="4"/>
              </w:rPr>
            </w:pPr>
            <w:r>
              <w:rPr>
                <w:sz w:val="4"/>
                <w:szCs w:val="4"/>
              </w:rPr>
            </w:r>
          </w:p>
        </w:tc>
        <w:tc>
          <w:tcPr>
            <w:tcW w:w="2627" w:type="dxa"/>
            <w:tcBorders/>
            <w:vAlign w:val="center"/>
          </w:tcPr>
          <w:p>
            <w:pPr>
              <w:pStyle w:val="TableContents"/>
              <w:bidi w:val="0"/>
              <w:spacing w:before="0" w:after="283"/>
              <w:jc w:val="left"/>
              <w:rPr>
                <w:sz w:val="4"/>
                <w:szCs w:val="4"/>
              </w:rPr>
            </w:pPr>
            <w:r>
              <w:rPr>
                <w:sz w:val="4"/>
                <w:szCs w:val="4"/>
              </w:rPr>
            </w:r>
          </w:p>
        </w:tc>
        <w:tc>
          <w:tcPr>
            <w:tcW w:w="3732" w:type="dxa"/>
            <w:tcBorders/>
            <w:vAlign w:val="center"/>
          </w:tcPr>
          <w:p>
            <w:pPr>
              <w:pStyle w:val="TableContents"/>
              <w:bidi w:val="0"/>
              <w:spacing w:before="0" w:after="283"/>
              <w:jc w:val="left"/>
              <w:rPr>
                <w:sz w:val="4"/>
                <w:szCs w:val="4"/>
              </w:rPr>
            </w:pPr>
            <w:r>
              <w:rPr>
                <w:sz w:val="4"/>
                <w:szCs w:val="4"/>
              </w:rPr>
            </w:r>
          </w:p>
        </w:tc>
      </w:tr>
      <w:tr>
        <w:trPr/>
        <w:tc>
          <w:tcPr>
            <w:tcW w:w="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Exhibit Title</w:t>
            </w:r>
          </w:p>
        </w:tc>
      </w:tr>
      <w:tr>
        <w:trPr/>
        <w:tc>
          <w:tcPr>
            <w:tcW w:w="8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left"/>
              <w:rPr/>
            </w:pPr>
            <w:hyperlink w:anchor="zlab-20260630x10qxexx311.htm">
              <w:r>
                <w:rPr>
                  <w:rStyle w:val="InternetLink"/>
                  <w:rFonts w:ascii="Times New Roman;serif" w:hAnsi="Times New Roman;serif"/>
                  <w:b w:val="false"/>
                  <w:color w:val="0000FF"/>
                  <w:sz w:val="20"/>
                  <w:u w:val="single"/>
                </w:rPr>
                <w:t xml:space="preserve">Certification of Chief Executive Officer Required by Exchange Act Rule 13a-14(a) </w:t>
              </w:r>
            </w:hyperlink>
          </w:p>
        </w:tc>
      </w:tr>
      <w:tr>
        <w:trPr/>
        <w:tc>
          <w:tcPr>
            <w:tcW w:w="8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zlab-20260630x10qxexx312.htm">
              <w:r>
                <w:rPr>
                  <w:rStyle w:val="InternetLink"/>
                  <w:rFonts w:ascii="Times New Roman;serif" w:hAnsi="Times New Roman;serif"/>
                  <w:b w:val="false"/>
                  <w:color w:val="0000FF"/>
                  <w:sz w:val="20"/>
                  <w:u w:val="single"/>
                </w:rPr>
                <w:t xml:space="preserve">Certification of Chief Financial Officer Required by Exchange Act Rule 13a-14(a) </w:t>
              </w:r>
            </w:hyperlink>
          </w:p>
        </w:tc>
      </w:tr>
      <w:tr>
        <w:trPr/>
        <w:tc>
          <w:tcPr>
            <w:tcW w:w="8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zlab-20260630x10qxexx321.htm">
              <w:r>
                <w:rPr>
                  <w:rStyle w:val="InternetLink"/>
                  <w:rFonts w:ascii="Times New Roman;serif" w:hAnsi="Times New Roman;serif"/>
                  <w:b w:val="false"/>
                  <w:color w:val="0000FF"/>
                  <w:sz w:val="20"/>
                  <w:u w:val="single"/>
                </w:rPr>
                <w:t xml:space="preserve">Certification of Chief Executive Officer Required by 18 U.S.C. Section 1350 </w:t>
              </w:r>
            </w:hyperlink>
          </w:p>
        </w:tc>
      </w:tr>
      <w:tr>
        <w:trPr/>
        <w:tc>
          <w:tcPr>
            <w:tcW w:w="8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zlab-20260630x10qxexx322.htm">
              <w:r>
                <w:rPr>
                  <w:rStyle w:val="InternetLink"/>
                  <w:rFonts w:ascii="Times New Roman;serif" w:hAnsi="Times New Roman;serif"/>
                  <w:b w:val="false"/>
                  <w:color w:val="0000FF"/>
                  <w:sz w:val="20"/>
                  <w:u w:val="single"/>
                </w:rPr>
                <w:t xml:space="preserve">Certification of Chief Financial Officer Required by 18 U.S.C. Section 1350 </w:t>
              </w:r>
            </w:hyperlink>
          </w:p>
        </w:tc>
      </w:tr>
      <w:tr>
        <w:trPr/>
        <w:tc>
          <w:tcPr>
            <w:tcW w:w="8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Document-the instance document does not appear in the Interactive Data File because its XBRL tags are embedded within the Inline XBRL document</w:t>
            </w:r>
          </w:p>
        </w:tc>
      </w:tr>
      <w:tr>
        <w:trPr/>
        <w:tc>
          <w:tcPr>
            <w:tcW w:w="8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8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8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8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8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Definitions Linkbase Document</w:t>
            </w:r>
          </w:p>
        </w:tc>
      </w:tr>
      <w:tr>
        <w:trPr/>
        <w:tc>
          <w:tcPr>
            <w:tcW w:w="8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before="0" w:after="0"/>
        <w:ind w:left="0" w:right="0" w:firstLine="540"/>
        <w:jc w:val="left"/>
        <w:rPr/>
      </w:pPr>
      <w:r>
        <w:rPr/>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 Management contract or compensatory plan, contract, or arrangement.</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 Portions of this exhibit have been redacted pursuant to Item 601(b)(10)(iv) of Regulation S-K.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333" w:after="283"/>
        <w:ind w:left="0" w:right="0" w:firstLine="540"/>
        <w:jc w:val="left"/>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333"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thereunto duly authorized. </w:t>
      </w:r>
    </w:p>
    <w:tbl>
      <w:tblPr>
        <w:tblW w:w="6686" w:type="dxa"/>
        <w:jc w:val="left"/>
        <w:tblInd w:w="0" w:type="dxa"/>
        <w:tblLayout w:type="fixed"/>
        <w:tblCellMar>
          <w:top w:w="28" w:type="dxa"/>
          <w:left w:w="28" w:type="dxa"/>
          <w:bottom w:w="28" w:type="dxa"/>
          <w:right w:w="28" w:type="dxa"/>
        </w:tblCellMar>
      </w:tblPr>
      <w:tblGrid>
        <w:gridCol w:w="705"/>
        <w:gridCol w:w="619"/>
        <w:gridCol w:w="625"/>
        <w:gridCol w:w="289"/>
        <w:gridCol w:w="289"/>
        <w:gridCol w:w="289"/>
        <w:gridCol w:w="1130"/>
        <w:gridCol w:w="1130"/>
        <w:gridCol w:w="1610"/>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ZAI LAB LIMITED</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Dated: August 6, 2026</w:t>
            </w:r>
          </w:p>
        </w:tc>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Yajing Chen</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8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Yajing Chen</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by the Principal Executive Officer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Exchange Act Rule 13a-14(a),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Samantha (Ying) Du, certify that: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1. I have reviewed this Quarterly Report on Form 10-Q for the quarter ended June 30, 2026 of Zai Lab Limited;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 Any fraud, whether or not material, that involves management or other employees who have a significant role in the registrant’s internal control over financial reporting. </w:t>
      </w:r>
    </w:p>
    <w:tbl>
      <w:tblPr>
        <w:tblW w:w="4348" w:type="dxa"/>
        <w:jc w:val="left"/>
        <w:tblInd w:w="0" w:type="dxa"/>
        <w:tblLayout w:type="fixed"/>
        <w:tblCellMar>
          <w:top w:w="28" w:type="dxa"/>
          <w:left w:w="28" w:type="dxa"/>
          <w:bottom w:w="28" w:type="dxa"/>
          <w:right w:w="28" w:type="dxa"/>
        </w:tblCellMar>
      </w:tblPr>
      <w:tblGrid>
        <w:gridCol w:w="667"/>
        <w:gridCol w:w="587"/>
        <w:gridCol w:w="590"/>
        <w:gridCol w:w="733"/>
        <w:gridCol w:w="733"/>
        <w:gridCol w:w="1038"/>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25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Samantha (Ying) Du</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Samantha (Ying) Du</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Certification by the Principal Financial Officer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Exchange Act Rule 13a-14(a),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Section 302 of the Sarbanes-Oxley Act of 2002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Yajing Chen, certify that: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1. I have reviewed this Quarterly Report on Form 10-Q for the quarter ended June 30, 2026 of Zai Lab Limited;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5714" w:type="dxa"/>
        <w:jc w:val="left"/>
        <w:tblInd w:w="0" w:type="dxa"/>
        <w:tblLayout w:type="fixed"/>
        <w:tblCellMar>
          <w:top w:w="28" w:type="dxa"/>
          <w:left w:w="28" w:type="dxa"/>
          <w:bottom w:w="28" w:type="dxa"/>
          <w:right w:w="28" w:type="dxa"/>
        </w:tblCellMar>
      </w:tblPr>
      <w:tblGrid>
        <w:gridCol w:w="667"/>
        <w:gridCol w:w="587"/>
        <w:gridCol w:w="590"/>
        <w:gridCol w:w="1130"/>
        <w:gridCol w:w="1130"/>
        <w:gridCol w:w="1610"/>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38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Yajing Chen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Yajing Chen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by the Principal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on Form 10-Q for the quarter ended June 30, 2026 of Zai Lab Limited (the “Company”), as filed with the Securities and Exchange Commission on the date hereof (the “Report”), I, Samantha (Ying) Du, Chief Executive Officer of the Company, certify, pursuant to 18 U.S.C. Section 1350, as adopted pursuant to Section 906 of the Sarbanes-Oxley Act of 2002, that to my knowledge: </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(1)The Report fully complies with the requirements of Section 13(a) or 15(d) of the Securities Exchange Act of 1934; and </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240" w:after="283"/>
        <w:jc w:val="left"/>
        <w:rPr/>
      </w:pPr>
      <w:r>
        <w:rPr/>
      </w:r>
    </w:p>
    <w:tbl>
      <w:tblPr>
        <w:tblW w:w="4348" w:type="dxa"/>
        <w:jc w:val="left"/>
        <w:tblInd w:w="0" w:type="dxa"/>
        <w:tblLayout w:type="fixed"/>
        <w:tblCellMar>
          <w:top w:w="28" w:type="dxa"/>
          <w:left w:w="28" w:type="dxa"/>
          <w:bottom w:w="28" w:type="dxa"/>
          <w:right w:w="28" w:type="dxa"/>
        </w:tblCellMar>
      </w:tblPr>
      <w:tblGrid>
        <w:gridCol w:w="667"/>
        <w:gridCol w:w="587"/>
        <w:gridCol w:w="590"/>
        <w:gridCol w:w="733"/>
        <w:gridCol w:w="733"/>
        <w:gridCol w:w="1038"/>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25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Samantha (Ying) Du</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Samantha (Ying) Du</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Certification by the Principal Financial Officer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Section 906 of the Sarbanes-Oxley Act of 2002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on Form 10-Q for the quarter ended June 30, 2026 of Zai Lab Limited (the “Company”), as filed with the Securities and Exchange Commission on the date hereof (the “Report”), I, Yajing Chen, Chief Financial Officer of the Company, certify, pursuant to 18 U.S.C. Section 1350, as adopted pursuant to Section 906 of the Sarbanes-Oxley Act of 2002, that to my knowledge: </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(1)The Report fully complies with the requirements of Section 13(a) or 15(d) of the Securities Exchange Act of 1934; and </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5714" w:type="dxa"/>
        <w:jc w:val="left"/>
        <w:tblInd w:w="0" w:type="dxa"/>
        <w:tblLayout w:type="fixed"/>
        <w:tblCellMar>
          <w:top w:w="28" w:type="dxa"/>
          <w:left w:w="28" w:type="dxa"/>
          <w:bottom w:w="28" w:type="dxa"/>
          <w:right w:w="28" w:type="dxa"/>
        </w:tblCellMar>
      </w:tblPr>
      <w:tblGrid>
        <w:gridCol w:w="667"/>
        <w:gridCol w:w="587"/>
        <w:gridCol w:w="590"/>
        <w:gridCol w:w="1130"/>
        <w:gridCol w:w="1130"/>
        <w:gridCol w:w="1610"/>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38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Yajing Chen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Yajing Chen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w:t>
            </w:r>
          </w:p>
        </w:tc>
      </w:tr>
    </w:tbl>
    <w:p>
      <w:pPr>
        <w:pStyle w:val="TextBody"/>
        <w:bidi w:val="0"/>
        <w:spacing w:before="24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16518</Words>
  <Characters>93716</Characters>
  <CharactersWithSpaces>109318</CharactersWithSpaces>
  <Paragraphs>2187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