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Leung Nisa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1"/>
        <w:gridCol w:w="771"/>
        <w:gridCol w:w="598"/>
        <w:gridCol w:w="347"/>
        <w:gridCol w:w="970"/>
        <w:gridCol w:w="453"/>
        <w:gridCol w:w="615"/>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22,371</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96,297</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shares that vest in full on June 17, 2027, subject to the Reporting Person's continued service as a member of the issuer's board of directors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822"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3394</Characters>
  <CharactersWithSpaces>3966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