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85.jpeg" ContentType="image/jpeg"/>
  <Override PartName="/word/media/image2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UNITED STATES</w:t>
      </w:r>
    </w:p>
    <w:p>
      <w:pPr>
        <w:pStyle w:val="TextBody"/>
        <w:bidi w:val="0"/>
        <w:spacing w:lineRule="auto" w:line="28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SECURITIES AND EXCHANGE COMMISSION</w:t>
      </w:r>
    </w:p>
    <w:p>
      <w:pPr>
        <w:pStyle w:val="TextBody"/>
        <w:bidi w:val="0"/>
        <w:spacing w:lineRule="auto" w:line="19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192" w:before="24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FORM 8-K</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216"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1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1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192" w:before="240" w:after="283"/>
        <w:jc w:val="center"/>
        <w:rPr/>
      </w:pPr>
      <w:r>
        <w:rPr>
          <w:rFonts w:ascii="Times New Roman;serif" w:hAnsi="Times New Roman;serif"/>
          <w:b/>
          <w:color w:val="000000"/>
          <w:sz w:val="20"/>
          <w:shd w:fill="FFFFFF" w:val="clear"/>
        </w:rPr>
        <w:t>Date of Report (Date of earliest event reported): </w:t>
      </w:r>
      <w:r>
        <w:rPr>
          <w:rFonts w:ascii="Times New Roman;serif" w:hAnsi="Times New Roman;serif"/>
          <w:b/>
          <w:color w:val="000000"/>
          <w:sz w:val="20"/>
        </w:rPr>
        <w:t>October 22, 2026</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192" w:before="24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ZAI LAB LIMITED</w:t>
      </w:r>
    </w:p>
    <w:p>
      <w:pPr>
        <w:pStyle w:val="TextBody"/>
        <w:bidi w:val="0"/>
        <w:spacing w:lineRule="auto" w:line="192"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(Exact name of registrant as specified in its charter)</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tbl>
      <w:tblPr>
        <w:tblW w:w="5040" w:type="dxa"/>
        <w:jc w:val="center"/>
        <w:tblInd w:w="0" w:type="dxa"/>
        <w:tblLayout w:type="fixed"/>
        <w:tblCellMar>
          <w:top w:w="28" w:type="dxa"/>
          <w:left w:w="28" w:type="dxa"/>
          <w:bottom w:w="28" w:type="dxa"/>
          <w:right w:w="28" w:type="dxa"/>
        </w:tblCellMar>
      </w:tblPr>
      <w:tblGrid>
        <w:gridCol w:w="853"/>
        <w:gridCol w:w="748"/>
        <w:gridCol w:w="753"/>
        <w:gridCol w:w="374"/>
        <w:gridCol w:w="374"/>
        <w:gridCol w:w="378"/>
        <w:gridCol w:w="455"/>
        <w:gridCol w:w="455"/>
        <w:gridCol w:w="650"/>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Cayman Islands</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001-38205</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98-1144595</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w:t>
              <w:br/>
              <w:t>File Number)</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tbl>
      <w:tblPr>
        <w:tblW w:w="4064" w:type="dxa"/>
        <w:jc w:val="center"/>
        <w:tblInd w:w="0" w:type="dxa"/>
        <w:tblLayout w:type="fixed"/>
        <w:tblCellMar>
          <w:top w:w="28" w:type="dxa"/>
          <w:left w:w="28" w:type="dxa"/>
          <w:bottom w:w="28" w:type="dxa"/>
          <w:right w:w="28" w:type="dxa"/>
        </w:tblCellMar>
      </w:tblPr>
      <w:tblGrid>
        <w:gridCol w:w="1112"/>
        <w:gridCol w:w="980"/>
        <w:gridCol w:w="982"/>
        <w:gridCol w:w="290"/>
        <w:gridCol w:w="290"/>
        <w:gridCol w:w="410"/>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899 Halei Road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Building B, Pudong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Shanghai, China</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8"/>
              </w:rPr>
              <w:t>201203</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314 Main Street</w:t>
              <w:br/>
              <w:t>4th Floor, Suite 100</w:t>
              <w:br/>
              <w:t>Cambridge, MA, USA</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02142</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+86 21 6163 2588</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+1 857 706 2604</w:t>
      </w:r>
    </w:p>
    <w:p>
      <w:pPr>
        <w:pStyle w:val="TextBody"/>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(Registrant’s Telephone Number, Including Area Code)</w:t>
      </w:r>
    </w:p>
    <w:p>
      <w:pPr>
        <w:pStyle w:val="TextBody"/>
        <w:bidi w:val="0"/>
        <w:spacing w:lineRule="auto" w:line="216"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Not Applicable</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76"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74"/>
        <w:gridCol w:w="1896"/>
        <w:gridCol w:w="1841"/>
        <w:gridCol w:w="109"/>
        <w:gridCol w:w="109"/>
        <w:gridCol w:w="109"/>
        <w:gridCol w:w="282"/>
        <w:gridCol w:w="282"/>
        <w:gridCol w:w="283"/>
        <w:gridCol w:w="109"/>
        <w:gridCol w:w="109"/>
        <w:gridCol w:w="109"/>
        <w:gridCol w:w="817"/>
        <w:gridCol w:w="817"/>
        <w:gridCol w:w="1159"/>
      </w:tblGrid>
      <w:tr>
        <w:trPr/>
        <w:tc>
          <w:tcPr>
            <w:tcW w:w="217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each exchange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on which registered</w:t>
            </w:r>
          </w:p>
        </w:tc>
      </w:tr>
      <w:tr>
        <w:trPr/>
        <w:tc>
          <w:tcPr>
            <w:tcW w:w="5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American Depositary Shares, each representing 10 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r>
        <w:trPr/>
        <w:tc>
          <w:tcPr>
            <w:tcW w:w="59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Stock Exchange of Hong Kong Limited</w:t>
            </w:r>
          </w:p>
        </w:tc>
      </w:tr>
    </w:tbl>
    <w:p>
      <w:pPr>
        <w:pStyle w:val="TextBody"/>
        <w:bidi w:val="0"/>
        <w:spacing w:lineRule="auto" w:line="288" w:before="180" w:after="283"/>
        <w:ind w:left="0" w:right="0" w:hanging="540"/>
        <w:jc w:val="left"/>
        <w:rPr/>
      </w:pPr>
      <w:r>
        <w:rPr>
          <w:rFonts w:ascii="Times New Roman;serif" w:hAnsi="Times New Roman;serif"/>
          <w:b w:val="false"/>
          <w:color w:val="000000"/>
          <w:sz w:val="18"/>
        </w:rPr>
        <w:t>*</w:t>
      </w:r>
      <w:r>
        <w:rPr>
          <w:rFonts w:ascii="Times New Roman;serif" w:hAnsi="Times New Roman;serif"/>
          <w:b w:val="false"/>
          <w:color w:val="000000"/>
          <w:sz w:val="18"/>
          <w:shd w:fill="FFFFFF" w:val="clear"/>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Emerging growth company ☐</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1.01 Entry into a Material Definitive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Securities Purchase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22, 2026, Zai Lab Limited (the “Company”) entered into a securities purchase agreement (the “Securities Purchase Agreement”) with certain accredited investors named therein (each, an “Investor” and collectively, the “Investors”), relating to the sale to the Investors of 11,340,000 American depositary shares of the Company (“ADSs”), each representing ten ordinary shares of the Company with a par value of $0.000006 per share, at an offering price of $22.04 per ADS in a private placement transaction (the “Private Placement”).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 Company expects to receive proceeds from the Private Placement of approximately $250 million</w:t>
      </w:r>
      <w:r>
        <w:rPr>
          <w:color w:val="000000"/>
        </w:rPr>
        <w:t xml:space="preserve"> </w:t>
      </w:r>
      <w:r>
        <w:rPr>
          <w:rFonts w:ascii="Times New Roman;serif" w:hAnsi="Times New Roman;serif"/>
          <w:b w:val="false"/>
          <w:color w:val="000000"/>
          <w:sz w:val="20"/>
          <w:shd w:fill="FFFFFF" w:val="clear"/>
        </w:rPr>
        <w:t xml:space="preserve">before deducting placement agent fees and other expenses. The Company intends to use the net proceeds from the Private Placement to fund the development of pipeline assets and for working capital and other general corporate purposes.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closing of the Private Placement (the “PIPE Closing”) is expected to take place on or about October 27, 2026, subject to the satisfaction of customary closing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Securities Purchase Agreement contains customary representations, warranties and covenants that were made solely for the benefit of the parties to the Securities Purchase Agreement. Such representations, warranties and covenants (i) are intended as a way of allocating risk between the parties to the Securities Purchase Agreement and not as statements of fact, and (ii) may apply standards of materiality in a way that is different from what may be viewed as material by investors in the Company. Accordingly, the Securities Purchase Agreement is included with this filing only to provide investors with information regarding the terms of transaction and not to provide investors with any other factual information regarding the Company. Investors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Securities Purchase Agreement, which subsequent information may or may not be fully reflected in public disclosures.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Private Placement, on October 22, 2026, the Company entered into a Registration Rights Agreement (the “Registration Rights Agreement”) with the Investors, pursuant to which the Company will prepare and file, within 15 days of the PIPE Closing and subject to certain allowable delays, an initial registration statement with the Securities and Exchange Commission (the “SEC”) to register for resale the ADSs sold in the Private Placement. The Company has granted the Investors customary indemnification rights in connection with the 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descriptions of the Securities Purchase Agreement and the Registration Rights Agreement are qualified in their entirety by reference to the full text of the Securities Purchase Agreement and the Registration Rights Agreement, forms of which are filed as Exhibit 10.1 and 10.2, respectively, to this Current Report on Form 8-K and are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Current Report on Form 8-K, including the exhibits hereto, shall not constitute an offer to sell or the solicitation of an offer to buy any securities of the Company, nor shall there be any sale of the Company’s securities in any state or jurisdiction in which such offer, solicitation or sale would be unlawful prior to registration or qualification under the securities laws of such jurisdiction.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3.02 Unregistered Sales of Equity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disclosure regarding the securities to be sold and issued under the Securities Purchase Agreement set forth under Item 1.01 of this report is incorporated by reference under this Item 3.02.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securities described above under Item 1.01 have not been registered under the Securities Act of 1933, as amended (the “Securities Act”), or any state securities laws. The Company is relying on the exemption from the registration requirements of the Securities Act by virtue of Section 4(a)(2) thereof and Regulation D thereunder. Each of the Investors provided representations appropriate for a private placement of securities. Restrictive legends will be affixed to the securities issued in the Private Placement.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7.01 Regulation FD Disclosure.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23, 2026, the Company published an updated corporate presentation. A copy of this presentation is attached to this Current Report on Form 8-K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contained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8.01 Other 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22, 2026, the Company issued a press release announcing the Private Placement. A copy of this press release is attached to this Current Report on Form 8-K as Exhibit 99.2 and is incorporated herein by reference.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9747"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2470"/>
        <w:gridCol w:w="2470"/>
        <w:gridCol w:w="353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ojectzenith-spax8xkex.htm">
              <w:r>
                <w:rPr>
                  <w:rStyle w:val="InternetLink"/>
                  <w:rFonts w:ascii="Times New Roman;serif" w:hAnsi="Times New Roman;serif"/>
                  <w:b w:val="false"/>
                  <w:strike w:val="false"/>
                  <w:dstrike w:val="false"/>
                  <w:color w:val="000080"/>
                  <w:sz w:val="20"/>
                  <w:u w:val="single"/>
                  <w:effect w:val="none"/>
                </w:rPr>
                <w:t xml:space="preserve">Securities Purchase Agreement, dated October </w:t>
              </w:r>
            </w:hyperlink>
            <w:hyperlink w:anchor="projectzenith-spax8xkex.htm">
              <w:r>
                <w:rPr>
                  <w:rStyle w:val="InternetLink"/>
                  <w:rFonts w:ascii="Times New Roman;serif" w:hAnsi="Times New Roman;serif"/>
                  <w:b w:val="false"/>
                  <w:strike w:val="false"/>
                  <w:dstrike w:val="false"/>
                  <w:color w:val="000080"/>
                  <w:sz w:val="20"/>
                  <w:u w:val="single"/>
                  <w:effect w:val="none"/>
                </w:rPr>
                <w:t>22</w:t>
              </w:r>
            </w:hyperlink>
            <w:hyperlink w:anchor="projectzenith-spax8xkex.htm">
              <w:r>
                <w:rPr>
                  <w:rStyle w:val="InternetLink"/>
                  <w:rFonts w:ascii="Times New Roman;serif" w:hAnsi="Times New Roman;serif"/>
                  <w:b w:val="false"/>
                  <w:strike w:val="false"/>
                  <w:dstrike w:val="false"/>
                  <w:color w:val="000080"/>
                  <w:sz w:val="20"/>
                  <w:u w:val="single"/>
                  <w:effect w:val="none"/>
                </w:rPr>
                <w:t>, 2026, by and among the Company and the Investors</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ojectzenith-rrax8xkex.htm">
              <w:r>
                <w:rPr>
                  <w:rStyle w:val="InternetLink"/>
                  <w:rFonts w:ascii="Times New Roman;serif" w:hAnsi="Times New Roman;serif"/>
                  <w:b w:val="false"/>
                  <w:strike w:val="false"/>
                  <w:dstrike w:val="false"/>
                  <w:color w:val="000000"/>
                  <w:sz w:val="20"/>
                  <w:u w:val="none"/>
                  <w:effect w:val="none"/>
                </w:rPr>
                <w:t>Registration Rights Agreement, dated October 22, 2026, by and among the Company and the Investors</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poratedeck_vfinal4.htm">
              <w:r>
                <w:rPr>
                  <w:rStyle w:val="InternetLink"/>
                  <w:rFonts w:ascii="Times New Roman;serif" w:hAnsi="Times New Roman;serif"/>
                  <w:b w:val="false"/>
                  <w:strike w:val="false"/>
                  <w:dstrike w:val="false"/>
                  <w:color w:val="000000"/>
                  <w:sz w:val="20"/>
                  <w:u w:val="none"/>
                  <w:effect w:val="none"/>
                </w:rPr>
                <w:t>Corporate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175834151_7xprojectze.htm">
              <w:r>
                <w:rPr>
                  <w:rStyle w:val="InternetLink"/>
                  <w:rFonts w:ascii="Times New Roman;serif" w:hAnsi="Times New Roman;serif"/>
                  <w:b w:val="false"/>
                  <w:strike w:val="false"/>
                  <w:dstrike w:val="false"/>
                  <w:color w:val="000000"/>
                  <w:sz w:val="20"/>
                  <w:u w:val="none"/>
                  <w:effect w:val="none"/>
                </w:rPr>
                <w:t>Pricing Press Release</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83" w:type="dxa"/>
        <w:jc w:val="left"/>
        <w:tblInd w:w="0" w:type="dxa"/>
        <w:tblLayout w:type="fixed"/>
        <w:tblCellMar>
          <w:top w:w="28" w:type="dxa"/>
          <w:left w:w="28" w:type="dxa"/>
          <w:bottom w:w="28" w:type="dxa"/>
          <w:right w:w="28" w:type="dxa"/>
        </w:tblCellMar>
      </w:tblPr>
      <w:tblGrid>
        <w:gridCol w:w="726"/>
        <w:gridCol w:w="640"/>
        <w:gridCol w:w="643"/>
        <w:gridCol w:w="134"/>
        <w:gridCol w:w="134"/>
        <w:gridCol w:w="136"/>
        <w:gridCol w:w="606"/>
        <w:gridCol w:w="606"/>
        <w:gridCol w:w="85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ZAI LAB LIMITED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Yajing Chen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Yajing Chen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projectzenith-spax8xkex.htm"/>
      <w:bookmarkStart w:id="1" w:name="ksprojectzenithspax8xkex"/>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SECURITIES PURCHASE AGREEMENT This SECURITIES PURCHASE AGREEMENT (this “Agreement”) is dated as of October 22, 2026, by and among Zai Lab Limited, an exempted company incorporated with limited liability under the laws of the Cayman Islands (the “Company”), and each of the entities listed on Exhibit A attached to this Agreement (each, an “Investor” and together, the “Investors”). WHEREAS, the Company and the Investors are executing and delivering this Agreement in reliance upon the exemption from securities registration afforded by Section 4(a)(2) of the Securities Act and Rule 506 of Regulation D promulgated under the Securities Act; WHEREAS, the Company desires to sell to the Investors, and each Investor desires to purchase from the Company, severally and not jointly, upon the terms and subject to the conditions stated in this Agreement, American Depositary Shares (“ADSs”), each representing ten (10) ordinary shares (the “Ordinary Shares”), par value $0.000006 per share, of the Company (the “Offered ADSs”); and WHEREAS, contemporaneously with the sale of the Offered ADSs, the parties hereto will execute and deliver a Registration Rights Agreement, substantially in the form attached hereto as Exhibit B, pursuant to which the Company will agree to provide certain registration rights in respect of the Offered ADSs under the Securities Act and applicable state securities laws. NOW THEREFORE, in consideration of the mutual agreements, representations, warranties and covenants herein contained, the Company and each Investor, severally and not jointly, agree as follows: 1. Definitions. As used in this Agreement, the following terms shall have the following respective meanings: “Actions” has the meaning set forth in Section 3.10. “ADS Price” means $22.04. “ADSs” has the meaning set forth in the recitals. “Affiliate” means, with respect to any Person, any other Person that, directly or indirectly through one or more intermediaries, controls, is controlled by or is under common control with such Person. “Agreement” has the meaning set forth in the recitals. “Anti-Corruption Laws” means the U.S. Foreign Corrupt Practices Act of 1977, as amended, or any applicable law or regulation implementing the OECD Convention on Combating Bribery of Foreign Public Officials in International Business Transactions, the Bribery Act 2010 of the United Kingdom or any other applicable anti-bribery or anticorruption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“Anti-Money Laundering Laws” has the meaning set forth in Section 3.28. “Applicable Laws” has the meaning set forth in Section 3.11. “Board of Directors” means the board of directors of the Company. “Business Day” means any day except any Saturday, any Sunday, any day which is a federal legal holiday in the United States or any day on which banking institutions in the State of New York are authorized or required by law or other governmental action to close. “Closing” has the meaning set forth in Section 2.2. “Closing Date” has the meaning set forth in Section 2.2. “Code” means the U.S. Internal Revenue Code of 1986, as amended. “Company” has the meaning set forth in the recitals. “CSRC” means the China Securities Regulatory Commission. “Deposit Agreement” means the Deposit Agreement, dated September 20, 2017, among the Company, the Depositary and the holders and beneficial owners from time to time of the American Depositary Receipts evidencing the ADSs issued thereunder, as such agreement may be amended or supplemented. “Depositary” means Citibank, N.A. and any successor depositary of the Company. “Disclosure Document” has the meaning set forth in Section 5.3. “Disqualification Event” has the meaning set forth in Section 3.26. “Environmental Laws” has the meaning set forth in Section 3.15. “ERISA” means the U.S. Employee Retirement Income Security Act of 1974, as amended. “Exchange Act” means the U.S. Securities Exchange Act of 1934, as amended, and all of the rules and regulations promulgated thereunder. “Financial Statements” has the meaning set forth in Section 3.8(b). “FINRA” means the U.S. Financial Industry Regulatory Authority, Inc. “Fundamental Representations” means the representations and warranties made by the Company in Sections 3.1 (Organization and Power), 3.2 (Capitalization), 3.4 (Authorization), 3.5 (Valid Issuance), 3.6 (No Conflict), 3.7 (Consents), 3.8 (SEC Filings; Financial Statements), 3.18 (Sarbanes-Oxley Act), 3.21 (Price Stabilization), 3.22 (Investment Company Act), 3.23 (General Solicitation; No Integration or Aggregation), 3.24 (Brokers and Finders), 3.25 (No Disqualification Events), 3.26 (Other Covered Persons), 3.27 (No Additional Agreements) and 3.32 (Reliance by the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“GAAP” means U.S. generally accepted accounting principles. “HK Exchange” means The Stock Exchange of Hong Kong Limited. “Indemnified Person” has the meaning set forth in Section 5.9(a). “Intellectual Property” has the meaning set forth in Section 3.12. “Investor” and “Investors” have the meanings set forth in the recitals. “Issuer Covered Person” has the meaning set forth in Section 3.25. “IT Systems” has the meaning set forth in Section 3.29. “Listing Rules” means the listing rules of Nasdaq and the HK Exchange. “Material Adverse Effect”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would reasonably be expected to have a material adverse effect on the performance by the Company of its obligations under this Agreement and the other Transaction Agreements;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(i) 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 (ii) general financial, credit or capital market conditions, including interest rates or exchange rates, or any changes therein, provided that the Company or its subsidiaries are not disproportionately affected thereby; (iii) any change that generally affects industries in which the Company and its subsidiaries conduct business, provided that the Company and its subsidiaries are not disproportionately affected thereby; (iv) earthquakes, hurricanes, tsunamis, tornadoes, floods, mudslides, fires or other natural disasters, weather conditions, global pandemics, including the COVID-19 pandemic and related strains, epidemics or similar health emergencies, and other force majeure events in the United States or any other location, provided that the Company and its subsidiaries are not disproportionately affected thereby; (v) national or international political or social conditions (or changes in such conditions), whether or not pursuant to the declaration of a national emergency or war,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 occurrence of any military or terrorist attack, provided that the Company and its subsidiaries are not disproportionately affected thereby; (vi) material changes in laws after the date of this Agreement; and (vii) 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(i)-(vi) of this definition). “Memorandum and Articles of Association” means the memorandum and articles of association of the Company, as currently in effect and as in effect on the Closing Date. “Nasdaq” means the Nasdaq Stock Market LLC. “National Exchange” means any of the following markets or exchanges on which the ADSs are listed or quoted for trading on the date in question, together with any successor thereto: the NYSE American, The New York Stock Exchange, The Nasdaq Global Market, The Nasdaq Global Select Market and The Nasdaq Capital Market. “NMPA” means the China National Medical Products Administration. “Offered ADSs” has the meaning set forth in the recitals. “Ordinary Share Equivalents” means any securities of the Company that would entitle the holder thereof to acquire at any time Ordinary Shares (including those represented by ADSs), including, without limitation, any debt, preferred shares, rights, options, warrants or other instrument that is at any time convertible into or exchangeable for, or otherwise entitles the holder thereof to receive, Ordinary Shares. “Ordinary Shares” has the meaning set forth in the recitals. “Other Purchasers” has the meaning set forth in Section 4.16. “Person” means an individual, partnership, corporation, limited liability company, business trust, joint stock company, trust, unincorporated association, joint venture or any other entity or organization. “Personal Data” has the meaning set forth in Section 3.29. “PIPE RADS Series Supplement” means the PIPE Restricted ADS Series Supplement to the Deposit Agreement and the RADS Letter Agreement, to be entered into by the Company and the Depositary on or prior to the Closing Date, as amended and supplemented from time to time. “Placement Agent” means Leerink Partners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“PRC” means the People’s Republic of China, which, for purposes of this Agreement only, excludes Taiwan, The Hong Kong Special Administrative Region and The Macau Special Administrative Region. “RADS Letter Agreement” means the restricted ADS letter agreement to be entered into by the Company and the Depositary on or prior to the Closing Date, as amended and supplemented from time to time. “Registration Rights Agreement” has the meaning set forth in Section 6.1(k). “Regulatory Authorities” has the meaning set forth in Section 3.19. “Rule 144” means Rule 144 promulgated by the SEC pursuant to the Securities Act, as such Rule may be amended from time to time, or any similar rule or regulation hereafter adopted by the SEC having substantially the same effect as such Rule. “Rule 506(d) Related Party has the meaning set forth in Section 4.14. “SDA” means the China State Drug Administration. “SEC” means the U.S. Securities and Exchange Commission. “SEC Reports” means (a) the Company’s most recently filed Annual Report on Form 10- K and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 “Securities Act” means the U.S. Securities Act of 1933, as amended, and all of the rules and regulations promulgated thereunder. “Short Sales”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 U.S. broker dealers or non-U.S. regulated brokers (but shall not be deemed to include the location and/or reservation of borrowable Ordinary Shares or ADSs). “Tax” or “Taxes” means any and all U.S.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share capital, license, payroll, withholding, employment, social security, workers’ compensation, unemployment compensation, utility, severance, production, excise, stamp, occupation, premium, windfall profits, transfer and gains taxes and customs duties.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“Transaction Agreements” means this Agreement, the Deposit Agreement and the Registration Rights Agreement. 2. Purchase and Sale of ADSs. 2.1 Purchase and Sale. On the Closing Date, upon the terms and subject to the conditions set forth herein, the Company agrees to sell, and the Investors, severally and not jointly, agree to purchase, the number of Offered ADSs, for the aggregate purchase price, set forth opposite the Investor’s name on Exhibit A. The purchase price per Offered ADS is equal to the ADS Price. 2.2 Closing. Subject to the satisfaction or waiver of the conditions set forth in Section 6, the closing of the purchase and sale of the Offered ADSs (the “Closing” and the date on which the Closing occurs, the “Closing Date”) shall occur remotely via the exchange of documents and signatures at such time as agreed to by the Company and the Investors but (i) in no event earlier than the second Business Day after the date of this Agreement and (ii) in no event later than the tenth Business Day after the date of this Agreement. At the Closing, the Offered ADSs shall be issued and registered in the name of the Investor, or in such nominee name(s) as designated by such Investor, representing the number of Offered ADSs to be purchased by the Investor at such Closing as set forth in Exhibit A, in each case against payment to the Company of the purchase price therefor (the “Aggregate Purchase Amount”) in full, by wire transfer to the Company of immediately available funds, at or prior to the Closing, in accordance with wire instructions provided by the Company to the Investors at least one Business Day prior to the Closing. On the Closing Date, the Company will cause the Depositary to issue the Offered ADSs in book entry form as restricted ADSs pursuant to the RADS Letter Agreement and the PIPE RADS Series Supplement, free and clear of all restrictive and other legends (except as expressly provided in Section 4.10) and the Company shall provide evidence of such issuance from the Company’s Depositary as soon as reasonably practical following the Closing Date to each Investor. In the event that the Closing has not occurred within two Business Days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Offered ADSs shall be deemed cancelled; provided that, unless this Agreement has been terminated pursuant to Section 7, such return of funds shall not terminate this Agreement or relieve such Investor of its obligation to purchase, or the Company of its obligation to issue and sell, the Offered ADSs at the Closing. 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a book-entry statement from the Depositary evidencing the issuance of the Offered ADSs on and as of the Closing Date in form and substance reasonably acceptable to such Investor (and the Company shall use reasonable best efforts to cause the Depositary to deliver such evidence).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3. Representations and Warranties of the Company. Except as set forth in the SEC Reports (other than as to the Fundamental Representations, which are not so qualified), the Company hereby represents and warrants to each of the Investors and the Placement Agent that the statements contained in this Section 3 are true and correct as of the date of this Agreement and as of the Closing Date (except for the representations and warranties that speak as of a specific date, which shall be made as of such date). 3.1 Organization and Power. The Company and each of its subsidiaries have been duly organized and are validly existing and in good standing (where such concept exists)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The constitutional documents of the Company and each of its subsidiaries comply in all material respects with the requirements of applicable laws of jurisdictions of their incorporation or organization and are in full force and effect. The Company does not own or control, directly or indirectly, any corporation, association or other entity other than the subsidiaries listed in Exhibit 21.1 to the Annual Report on Form 10-K for the year ended December 31, 2025, filed with the SEC on February 26, 2026. 3.2 Capitalization. The Company has an authorized capitalization as set forth in the SEC Reports; all the outstanding shares of capital stock of the Company have been duly and validly authorized and issued and are fully paid and non-assessable and are not subject to any pre- emptive or similar rights; except as described in or expressly contemplated by the SEC Reports,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3.3 Registration Rights. Except as set forth in the Transaction Agreements or as disclosed in the SEC Reports, no Person has the right to require the Company or any of its subsidiaries to register any securities for sale under the Securities Act by reason of the issuance and sale of the Offered ADSs other than have been validly waived. 3.4 Authorization. The Company has full right, power and authority to execute and deliver the Transaction Agreements and to perform its obligations under the terms of the Transaction Agreements; and all action required to be taken for the due and proper authorization, execution and delivery by it of this Agreement and the consummation by it of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contemplated hereby has been duly and validly taken. This Agreement has been duly authorized, executed and delivered by the Company and, assuming the due authorization and execution and delivery by each Investor of this Agreement and that this Agreement constitutes a valid and legally binding agreement of each Investor, this Agreement constitutes a legal, valid and binding obligation of the Company enforceable against the Company in accordance with its terms, except as enforceability may be limited by applicable bankruptcy, insolvency, reorganization or similar laws affecting the enforcement of creditors’ rights generally or by equitable principles relating to enforceability (regardless of whether such enforceability is considered in a proceeding in equity or at law. The Deposit Agreement was duly authorized and executed by the Company and delivered in accordance with its terms by each of the parties thereto and, assuming the due authorization and execution by the Depositary, constitutes a valid and legally binding agreement of the Company enforceable against the Company in accordance with its terms, except as enforceability may be limited by applicable bankruptcy, insolvency, reorganization or similar laws affecting the enforcement of creditors’ rights generally or by equitable principles relating to enforceability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3.5 Valid Issuance. The Offered ADSs to be issued hereunder have been duly authorized by the Company and, when issued and delivered and paid for as provided herein, will be duly and validly issued, will be fully paid and nonassessable and will conform in all material respects to the descriptions thereof in the SEC Reports; and the issuance of the Offered ADSs is not subject to any preemptive or similar rights. The Ordinary Shares may be freely deposited by the Company with the Depositary against issuance of the Offered ADSs; and there are no restrictions on subsequent transfers of the Offered ADSs under the laws of the Cayman Islands, the PRC or the United States except as disclosed in the SEC Reports. 3.6 No Conflict. The execution, delivery and performance by the Company of each of the Transaction Agreements, the issuance and sale of the Offered ADSs by the Company and the consummation by the Company of the transactions contemplated by the Transaction Agreements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Memorandum and Articles of Association or similar organizational documents of any of the Company’s subsidiaries or (iii) result in the violation of any law or statute or any judgment, order, rule or regulation of any court or arbitrator or governmental or regulatory authority, except, in the case of clauses (i) and (iii) above, for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conflict, breach, violation, default, lien, charge or encumbrance that would not, individually or in the aggregate, have a Material Adverse Effect. 3.7 Consents. Assuming the accuracy of the representations and warranties of each Investor set forth in Section 4 hereof, no consent, approval, authorization, order, registration or qualification of or with any court or arbitrator or governmental or regulatory authority is required for the execution, delivery and performance by the Company of each of the Transaction Agreements, the issuance and sale of the Offered ADSs and the consummation of the transactions contemplated by the Transaction Agreements, except for such consents, approvals, authorizations, orders and registrations or qualifications as have already been made or as may be required by FINRA, Nasdaq, the HK Exchange or under applicable state securities laws in connection with the purchase of the Offered ADSs by the Investors. 3.8 SEC Filings; Financial Statements. (a) The Company has filed all forms, statements, certifications, reports and documents required to be filed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 (b) The financial statements (including the related notes thereto) of the Company and its consolidated subsidiaries included in the SEC Reports (collectively, the “Financial Statements”) comply in all material respects with the applicable requirements of the Securities Act and the Exchange Act, as applicable, and present fairly the financial position of the Company and its consolidated subsidiaries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as permitted by the applicable rules of the SEC, and any supporting schedules included in the SEC Reports present fairly the information required to be stated therein; and the other financial information included in the SEC Reports has been derived from the accounting records of the Company and its consolidated subsidiaries and presents fairly the information shown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3.9 Absence of Changes. Since June 30, 2026, (i) there has not been any material change in the capital stock (other than the issuance of Ordinary Shares upon exercise of stock options and warrants described as outstanding in, and the grant of options and awards under existing equity incentive plans described in the SEC Reports),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prospective material adverse change, in or affecting the business, properties, management, financial position, stockholders’ equity or results of operations of the Company and its subsidiaries taken as a whole; (ii) except as disclosed in the SEC Reports,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taken as a whole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SEC Reports. 3.10 Absence of Litigation. There are no legal, governmental or regulatory investigations, actions, demands, claims, suits, arbitrations, inquiries or proceedings (“Actions”) pending to which the Company or any of its subsidiaries is or, to the Company’s knowledge, may be a party, or any of its executive officers, directors or key employees is a party, or to which any property or rights of the Company or any of its subsidiaries is or, to the Company’s knowledge, may be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SEC Reports, that are not so described in the SEC Reports and (ii) there are no statutes, regulations or contracts or other documents that are required under the Securities Act to be filed as exhibits to the SEC Reports or described in the SEC Reports that are not so filed as exhibits to the SEC Reports or described in the SEC Reports. 3.11 Compliance with Law; Permits. Neither the Company nor any of its subsidiaries is in violation of any law or statute or any judgment, order, rule or regulation of any court or arbitrator or governmental or regulatory authority having jurisdiction over the Company or any of its subsidiaries, including the CSRC, except for any such default or violation that would not, individually or in the aggregate, have a Material Adverse Effect.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SEC Reports, except where the failure to possess or make the same would not, individually or in the aggregate, have a Material Adverse Effect; neither the Company nor any of its subsidiaries has received notice of any revocation or modification of any such license, sub-license, certificate, permit or authorization or has any reason to believe that any such license, sub-license, certificate, permit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authorization will not be renewed in the ordinary course, except where such revocation, modification or non-renewal would not, individually or in the aggregate, reasonably be expected to have a Material Adverse Effect. The Company and its subsidiaries (i) are in compliance with all statutes, rules and regulations applicable to the ownership, testing, research, development, manufacture, packaging, labeling, processing, use, distribution, promotion, sale, pricing, storage, import, export or disposal of any product in development, manufactured, distributed, marketed, offered for sale or sold by the Company or its subsidiaries (“Applicable Laws”), except where such noncompliance would not, individually or in the aggregate, reasonably be expected to have a Material Adverse Effect; and (ii) have not received any U.S. Food and Drug Administration, NMPA (formerly SDA) notices or forms, written notice of adverse finding, warning letter, untitled letter or other correspondence or written notice from any court or arbitrator or governmental or regulatory authority alleging or asserting non-compliance with (x) any Applicable Laws or (y) any licenses, exemptions, certificates, approvals, clearances, authorizations, permits and supplements or amendments thereto required by any such Applicable Laws, except for such notices relating to non-compliance as would not have a Material Adverse Effect. 3.12 Intellectual Property. Except as would not reasonably be expected, individually or in the aggregate, to have a Material Adverse Effect, (i) the Company and its subsidiaries own or possess valid and adequate rights to use or can acquire on reasonable terms all patents, inventions, trademarks, service marks, trade names, domain names and other source indicators, copyrights and copyrightable works, licenses, technology, know-how (including trade secrets and other unpatented and/or unpatentable proprietary or confidential information, systems or procedures), proprietary or confidential information and all other intellectual property and proprietary rights (including all registrations, applications for registration and goodwill associated with the foregoing) (collectively, “Intellectual Property”), in each case, used in, held for use in or otherwise necessary for the conduct of their respective businesses as currently conducted and as proposed to be conducted as described in the SEC Reports; (ii) there are no rights of third parties to any Intellectual Property owned by or licensed to the Company and its subsidiaries that would prevent the Company or its subsidiaries from continuing their business as currently conducted and as proposed to be conducted as described in the SEC Reports; (iii) the Company’s and its subsidiaries’ conduct of their respective businesses does not infringe, misappropriate or otherwise violate, and has not infringed, misappropriated or otherwise violated, any Intellectual Property of any person; (iv) neither the Company nor any of its subsidiaries has received any notice of any Action relating to Intellectual Property, including any claim of infringement, misappropriation, breach, default or other violation of any Intellectual Property of any person, or any notice challenging the ownership, validity, enforceability or scope of any Intellectual Property of the Company or any of its subsidiaries; and (v) to the knowledge of the Company, all Intellectual Property of the Company and its subsidiaries is valid, enforceable and has not been, and is not currently being, infringed, misappropriated or otherwise violated by any Person. 3.13 Employee Benefits. (i) Neither the Company nor any of its subsidiaries has a material obligation to provide health, retirement, death or disability benefits to any of the present or past employees or directors of the Company or its subsidiaries or to any other person, (ii) the Company and its subsidiaries are in material compliance with all applicable laws relating to employee benefits, and (iii) neither the Company nor any of its subsidiaries nor any ERISA Affiliate has any liability with regard to any health, retirement, death or disability benefit obligation of any affiliate, in each case except as would not be reasonably expected, individually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or in the aggregate, to have a Material Adverse Effect. An “ERISA Affiliate” means any trade or business (whether or not incorporated) that, together with the Company, is treated as a single employer under Section 414(b) or (c) of the Code, is treated as under common control with the Company within the meaning of Section 4001(a)(14) of ERISA or, solely for purposes of Section 302 of ERISA and Section 412 of the Code, is treated as a single employer under Section 414 of the Code. No labor disturbance by, or dispute with, employees of the Company or any of its subsidiaries exists or, to the knowledge of the Company, is contemplated or threatened. The Company is not aware of any existing or imminent labor disturbance or dispute between any of its or its subsidiaries’ principal suppliers, contractors or customers and the respective employees of such principal suppliers, contractors or customers, except as would not have a Material Adverse Effect. The Company and its subsidiaries are, and have been at all times, in compliance with all applicable labor laws and regulations, except as would not have a Material Adverse Effect. To the knowledge of the Company, no government investigation or proceedings with respect to labor law compliance exists, or, to the knowledge of the Company, is imminent. 3.14 Taxes. The Company and its subsidiaries have timely paid all taxes (except for cases in which the failure to pay would not have a Material Adverse Effect, or, except as currently being contested in good faith and for which reserves required by GAAP have been created in the financial statements of the Company) and timely filed all tax returns required to be paid or filed through the date hereof (except where the failure to file would not, individually or in the aggregate, have a Material Adverse Effect); and the Company and its subsidiaries are not aware of any tax deficiency that has been, or is reasonably expected to be, asserted against the Company or any of its subsidiaries or any of their respective properties or assets (except for such tax deficiencies that would not, individually or in the aggregate, have a Material Adverse Effect). The Company is properly treated as a corporation for U.S. federal income tax purposes and has previously filed with the U.S. Internal Revenue Service a valid Form 8832, electing to be treated as a corporation for U.S. federal income tax purposes, and since that filing, the Company has not made any further filings on Form 8832 to be treated as other than a corporation for U.S. federal income tax purposes. 3.15 Environmental Laws. (i) The Company and its subsidiaries (x) are in compliance with all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(x) there is no proceeding that is pending, or, to the Company’s knowledge, contemplated, against the Company or its subsidiaries under any Environmental Laws in which a governmental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entity is also a party, other than such proceeding regarding which it is reasonably believed no monetary sanctions of $300,000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neither the Company nor its subsidiaries anticipates material capital expenditures relating to any Environmental Laws. 3.16 Title. The Company and its subsidiaries have valid rights to lease or otherwise use, all items of real and personal property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 3.17 Insurance. The Company and its subsidiaries have insurance covering their respective properties, operations, personnel and businesses, which insurance is in amounts and insures against such losses and risks as the Company reasonably believes are adequate to protect the Company and its subsidiaries and their respective businesses taken as a whole;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as would not, individually or in the aggregate, have a Material Adverse Effect. 3.18 Sarbanes-Oxley Act. To the extent applicable to the Company and its directors and officers, there is and has been no failure on the part of the Company or, to the knowledge of the Company, any of the Company’s directors or officers, in their capacities as such, to comply with any provision of the Sarbanes-Oxley Act of 2002, as amended and the rules and regulations promulgated in connection therewith, including Section 402 related to loans and Sections 302 and 906 related to certifications. 3.19 Clinical Data and Regulatory Compliance. (i) The clinical and pre-clinical trials conducted by or, to the knowledge of the Company, on behalf of or sponsored by the Company or its subsidiaries, taken as a whole, or in which the Company or its subsidiaries, taken as a whole, have participated and that are described in the SEC Reports, or the results of which are referred to in the SEC Reports,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SDA, NMPA and comparable regulatory agencies outside of China to which they are subject (collectively, the “Regulatory Authorities”) and current Good Clinical Practices and Good Laboratory Practices; (ii) the descriptions in the SEC Reports of the results of such trials, studies and tests are accurate and complete descriptions in all material respects and fairly present the data derived therefrom;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(iii) the Company has no knowledge of any other trials, studies or tests not described in the SEC Reports, the results of which are inconsistent with or call into question the results described or referred to in the SEC Reports; (iv) the Company and its subsidiaries have operated at all times and are currently in compliance in all material respects with all applicable statutes, rules and regulations of the Regulatory Authorities; and (v) neither the Company nor any of its subsidiaries have received any written notices, correspondence or other communications from the Regulatory Authorities or any other governmental agency requiring or threatening the termination, material modification or suspension of any clinical or pre-clinical trials, studies or tests that are described in the SEC Reports or the results of which are referred to in the SEC Reports, other than ordinary course communications with respect to modifications in connection with the design and implementation of such trials, studies or tests, and, to the Company’s knowledge, there are no reasonable grounds for the same. 3.20 Accounting Controls and Disclosure Controls and Procedures.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in the SEC Reports fairly presents the information called for in all material respects and is prepared in accordance with the SEC’s rules and guidelines applicable thereto. Except as disclosed in the SEC Reports, the Company has not identified any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The Company and its subsidiaries maintain an effective system of “disclosure controls and procedures” (as defined in Rule 13a-15(e) of the Exchange Act) that complies with the requirements of the Exchange Act and the Listing Rules and that has been designed to ensure that information required to be disclosed by the Company in reports that it files or submits under the Exchange Act or the Listing Rules, as applicable, is recorded, processed, summarized and reported within the time periods specified in the SEC’s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3.21 Price Stabilization . The Company has not taken, directly or indirectly, any action designed to or that would reasonably be expected to cause or result in any stabilization or manipulation of the price of the Offered ADSs. 3.22 Investment Company Act. The Company is not and, after giving effect to the offering and sale of the Offered ADSs and the application of the proceeds thereof received by the Company, will not be required to register as an “investment company” or an entity “controlled” by an “investment company” within the meaning of the Investment Company Act of 1940, as amended, and the rules and regulations of the SEC thereunder and will not result in the Company being not in compliance with any applicable laws, rules and regulations with respect to the administration of foreign exchange or overseas investment in the PRC. 3.23 General Solicitation; No Integration or Aggregation. Neither the Company nor any other person or entity authorized by the Company to act on its behalf has engaged in a general solicitation or general advertising (within the meaning of Regulation D of the Securities Act) of investors with respect to offers or sales of the Offered ADSs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Offered ADSs pursuant to this Agreement for purposes of the Securities Act or (ii) aggregated with prior offerings by the Company for the purposes of the rules and regulations of the Nasdaq Global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 3.24 Brokers and Finders. Other than the Placement Agent, neither the Company nor any other Person authorized by the Company to act on its behalf has retained, utilized or been represented by any broker or finder in connection with the transactions contemplated by this Agreement. 3.25 No Disqualification Events. Neither the Company nor any of its (i) predecessors, (ii) affiliated issuers, (iii) directors, (iv) executive officers, (v) non-executive officers participating in the placement contemplated by this Agreement, (vi) beneficial owners of 20% or more of its outstanding voting equity securities (calculated on the basis of voting power), (vii) promoters at the time of the placement contemplated by this Agreement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 (each, an “Issuer Covered Person” and, together, “Issuer Covered Persons”) is subject to the disqualification provisions of Rule 506(d)(1)(i-viii) of Regulation D under the Securities Act (a “Disqualification Event”). The Company has complied, to the extent applicable, with its disclosure obligations under Rule 506(e), and has furnished to the Investors a copy of any disclosures provided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16 3.26 Other Covered Persons. Other than the Placement Agent, the Company is not aware of any person (other than any Issuer Covered Person) that has been or will be paid (directly or indirectly) remuneration for solicitation of purchasers in connection with the sale of any Offered ADSs. 3.27 No Additional Agreements. There are no agreements or understandings between the Company and any Investor with respect to the transactions contemplated by the Transaction Agreements other than (i) as specified in the Transaction Agreements and (ii) any side letter agreements with any of the Investors, which side letters the Company has shared with all Investors. 3.28 Anti-Bribery and Anti-Money Laundering Laws; Sanctions; Outbound Investment. Neither the Company nor its subsidiaries nor any director or officer of the Company or its subsidiaries nor, to the knowledge of the Company, any agent, employee, affiliate or other person associated with or acting on behalf of the Company or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 Neither the Company nor its subsidiaries will use, directly or indirectly, the proceeds of the offering in furtherance of an offer, payment, promise to pay, or authorization of the payment or giving of money, or anything else of value, to any person in violation of any Anti-Corruption Law. The operations of the Company and its subsidiaries are and have been conducted at all times in compliance with applicable financial recordkeeping and reporting requirements, including those of the Currency and Foreign Transactions Reporting Act of 1970, as amended, the Anti-Money Laundering Law of the PRC (</w:t>
      </w:r>
      <w:r>
        <w:rPr>
          <w:color w:val="FFFFFF"/>
          <w:sz w:val="2"/>
        </w:rPr>
        <w:t>《中华人民共和国反洗钱法》</w:t>
      </w:r>
      <w:r>
        <w:rPr>
          <w:color w:val="FFFFFF"/>
          <w:sz w:val="2"/>
        </w:rPr>
        <w:t xml:space="preserve">), as amended and any other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 Neither the Company nor its subsidiaries nor, to the knowledge of the Company, any director or officer of the Company or its subsidiaries, or any agent, employee, affiliate or other person associated with or acting on behalf of the Company or its subsidiaries is currently the subject or the target of any financial, economic, or trade sanctions or export controls administered or enforced by the U.S. government (including, without limitation, the Office of Foreign Assets Control of the U.S. Department of the Treasury, the U.S. Department of Commerce, the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17 Department of State and including, without limitation, the designation as a “specially designated national” or “blocked person”), the United Nations Security Council, the European Union, His Majesty’s Treasury or other relevant sanctions authority (collectively, “Sanctions”), nor is the Company or its subsidiaries located, organized or resident in a country or territory that is the subject or target of Sanctions, including, without limitation, the so-called Donetsk People’s Republic and Luhansk People’s Republic, Zaporizhzhia, Kherson and Crimea regions of Ukraine, Cuba, Iran, North Korea, and Syria (each, a “Sanctioned Country”); and the Company will not directly or indirectly use the proceeds of the offering of the Offered ADSs hereunder, or lend, contribute or otherwise make available such proceeds to any subsidiaries,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placement agent, advisor, investor or otherwise) of Sanctions. For the past ten years, the Company and its subsidiaries have not knowingly engaged in and are not now knowingly engaged in any dealings or transactions with any person that at the time of the dealing or transaction is or was the subject or the target of Sanctions or with any Sanctioned Country. The Company does not currently engage in, has no current intention of engaging in, and shall not engage in the design, fabrication, development, testing, production, manufacture, installation, sale or packaging of one or more “covered national security technologies and products” (including, but not limited to, semiconductors and microelectronics, quantum information technologies, or artificial intelligence systems) within the meaning of Executive Order 14105 of August 9, 2023, including all implementing regulations thereof, codified at 31 C.F.R. Part 850, et seq. The Company is not and shall not become a “covered foreign person” within the meaning of Executive Order 14105 of August 9, 2023, including all implementing regulations thereof, codified at 31 C.F.R. Part 850, et seq. 3.29 Cybersecurity. Except as would not reasonably be expected, individually or in the aggregate, to have a Material Adverse Effect, (i) the Company and its subsidiaries’ information technology assets and equipment, computers, systems, networks, hardware, software, websites, applications, and databases (collectively, “IT Systems”) are adequate for, and operate and perform as required in connection with, the operation of the business of the Company and its subsidiaries as currently conducted; (ii) the Company and its subsidiaries have implemented and maintained commercially reasonable controls, policies, procedures, and safeguards to maintain and protect their confidential information and the integrity, continuous operation, redundancy and security of all IT Systems and data (including all personal, personally identifiable, health, sensitive, confidential or other regulated data, or any such data that may constitute trade secrets and working secrets of any governmental or regulatory authority in the PRC or any other data that would otherwise be detrimental to national security or public interest of the PRC pursuant to the applicable PRC laws (“Personal Data”)) used in connection with their businesses, and there have been no breaches, violations, outages, or unauthorized uses of or accesses to or same, except for those that have been remedied without material cost or liability or the duty to notify any other person, nor any incidents under internal review or investigations relating to the same; (iii) the Company and its subsidiaries are presently in compliance with all applicable laws (including, without limitation, the Provisions on Strengthening Confidentiality and Archives Administration of Overseas Securities Offering and Listing by Domestic Companies (</w:t>
      </w:r>
      <w:r>
        <w:rPr>
          <w:color w:val="FFFFFF"/>
          <w:sz w:val="2"/>
        </w:rPr>
        <w:t xml:space="preserve">关于加强境内企业境外发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18 </w:t>
      </w:r>
      <w:r>
        <w:rPr>
          <w:color w:val="FFFFFF"/>
          <w:sz w:val="2"/>
        </w:rPr>
        <w:t>行证券和上市相关保密和档案管理工作的规定</w:t>
      </w:r>
      <w:r>
        <w:rPr>
          <w:color w:val="FFFFFF"/>
          <w:sz w:val="2"/>
        </w:rPr>
        <w:t xml:space="preserve">) issued by the CSRC, Ministry of Finance of the PRC, National Administration of State Secrets Protection of the PRC, and National Archives Administration of the PRC (effective from 31 March 2023), as amended, supplemented or otherwise modified from time to time) or statutes and all judgments, orders, rules and regulations of any court or arbitrator or governmental or regulatory authority, internal policies and contractual obligations relating to the privacy and security, confidentiality and archive administration of IT Systems and Personal Data and to the protection of such IT Systems and Personal Data from unauthorized use, access, disclosure, misappropriation or modification; and (iv) neither the Company nor any of its subsidiaries is expected to be classified as a “critical information infrastructure operator” under the Cybersecurity Law of the PRC or subject to any investigation, inquiry or sanction relating to cybersecurity, data privacy, confidentiality or archive administration, or any cybersecurity review relating to cybersecurity, data privacy, confidentiality or archive administration, or any cybersecurity review of or relating to privacy and security, breaches, confidentiality and archive administration of IT Systems and Personal Data or to the protection of such IT Systems and Personal Data from unauthorized use, access, acquisition, disclosure, misappropriation or modification by the Cyberspace Administration of the PRC or any court or arbitrator or governmental or regulatory authority. 3.30 Transactions with Affiliates and Employees. No relationship, direct or indirect, exists between or among the Company or any of its subsidiaries, on the one hand, and the directors, officers, shareholders, customers or suppliers or other Affiliates of the Company or any of its subsidiaries, on the other hand, that is required by the Securities Act or the Listing Rules to be described in the SEC Reports that is not so described. 3.31 No Immunity. Neither the Company nor any of its subsidiaries or their properties or assets has immunity under the laws of the Cayman Islands, Hong Kong and the PRC or U.S. federal or New York state law from any legal action, suit or proceeding, from the giving of any relief in any such legal action, suit or proceeding, from set-off or counterclaim, from the jurisdiction of Cayman Islands, Hong Kong and the PRC or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the Transaction Agreements, may at any time be commenced, the Company has, pursuant to Section 8.4(b)(vi), waived, and it will waive, or will cause its subsidiaries to waive, such right to the extent permitted by law. 3.32 Reliance by the Investors. The Company has a reasonable basis for making each of the representations set forth in this Section 3. The Company acknowledges that each of the Investors will rely upon the truth and accuracy of, and the Company’s compliance with, the representations, warranties, agreements, acknowledgements and understandings of the Company set forth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4. Representations and Warranties of Each Investor. Each Investor, severally for itself and not jointly with any other Investor, represents and warrants to the Company and the Placement Agent that the statements contained in this Section 4 are true and correct as of the date of this Agreement and the Closing Date: 4.1 Organization. The Investor is duly organized, validly existing and in good standing under the laws of the jurisdiction of its organization and has the requisite power and authority to own, lease and operate its properties and to carry on its business as now conducted. 4.2 Authorization.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4.3 No Conflicts. The execution, delivery and performance of the Transaction Agreements by the Investor, the purchase of the Offered ADSs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the Investor to perform its obligations under the Transaction Agreements. 4.4 Residency. The Investor’s residence (if an individual) or offices in which its investment decision with respect to the Offered ADSs was made (if an entity) are located at the address immediately below the Investor’s name on the pertinent signature page of this Agreement, except as otherwise communicated by the Investor to the Company. The Investor is not a member of the public in the Cayman Islands, and the Investor acknowledges that no invitation has been or will be made to the public in the Cayman Islands to subscribe for the Offered ADSs or the Ordinary Shares underlying the Offered ADSs.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4.5 Brokers and Finders. The Investor has not retained, utilized or been represented by any broker or finder in connection with the transactions contemplated by this Agreement whose fees the Company would be required to pay. 4.6 Investment Representations and Warranties.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Offered ADSs. The Investor further represents and warrants that (x) it is capable of evaluating the merits and risk of such investment, and (y) that it has not been organized for the purpose of acquiring the Offered ADSs and is an “institutional account” as defined by FINRA Rule 4512(c). The Investor understands and agrees that the offering and sale of the Offered ADSs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4.7 Intent. The Investor is purchasing the Offered ADSs solely for investment purposes,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Offered ADSs in compliance with applicable federal and state securities laws. Notwithstanding the foregoing, if the Investor is purchasing the Offered ADSs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Offered ADSs to or through any person or entity. The Investor understands that the Offered ADSs must be held indefinitely unless such Offered ADSs are resold pursuant to a registration statement under the Securities Act or an exemption from registration is available. Nothing contained herein shall be deemed a representation or warranty by the Investor to hold the Offered ADSs for any period of time. 4.8 Investment Experience; Ability to Protect Its Own Interests and Bear Economic Risks. The Investor acknowledges that it can bear the economic risk and complete loss of its investment in the Offered ADSs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purchase of the Offered ADSs. The Investor acknowledges that the Investor is aware that there are substantial risks incident to the purchase and ownership of the Offered ADSs, including those set forth in the Company’s filings with the SEC. Alone, or together with any professional advisor(s), the Investor has adequately analyzed and fully considered the risks of an investment in the Offered ADSs and determined that the Offered ADSs are a suitable investment for the Investor. The Investor is, at this time and in the foreseeable future, able to afford the loss of the Investor’s entire investment in the Offered ADSs, and the Investor acknowledges specifically that a possibility of total loss exists. 4.9 Independent Investment Decision. The Investor understands that nothing in the Transaction Agreements or any other materials presented by or on behalf of the Company to the Investor in connection with the purchase of the Offered ADSs constitutes legal, tax or investment advice. The Investor has consulted such legal, tax and investment advisors as it, in such Investor’s sole discretion, has deemed necessary or appropriate in connection with its purchase of the Offered ADSs. 4.10 Securities Not Registered; Legends. The Investor acknowledges and agrees that the Offered ADSs are being offered in a transaction not involving any public offering within the meaning of the Securities Act, and the Investor understands that the Offered ADSs have not been registered under the Securities Act, by reason of their issuance by the Company in a transaction exempt from the registration requirements of the Securities Act, and that the Offered ADSs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Offered ADSs. The Investor acknowledges that no federal or state agency has passed upon or endorsed the merits of the offering of the Offered ADSs or made any findings or determination as to the fairness of this investment. The Investor understands that any certificates or book entry notations evidencing the Offered ADSs may bear one or more legends in substantially the following form and substance: THE RESTRICTED AMERICAN DEPOSITARY SHARES (“RESTRICTED ADSs”) REGISTERED IN YOUR NAME OR ON YOUR BEHALF OR OTHERWISE CREDITED TO YOUR OR YOUR NOMINEE’S ACCOUNT AND THE UNDERLYING RESTRICTED SHARES (“RESTRICTED SHARES”) OF ZAI LAB LIMITED (THE “COMPANY”) ARE SUBJECT TO THE TERMS OF (X) A RADS LETTER AGREEMENT, DATED AS OF [ ] (AS AMENDED AND SUPPLEMENTED FROM TIME TO TIME, THE “RADS LETTER AGREEMENT”), (Y) THE DEPOSIT AGREEMENT, DATED AS OF SEPTEMBER 20, 2017, AS AMENDED AND SUPPLEMENTED (AS SO AMENDED AND SUPPLEMENTED, THE “DEPOSIT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AGREEMENT”) AND (Z) THE PIPE RESTRICTED ADS SERIES SUPPLEMENT (THE “PIPE RADS SERIES SUPPLEMENT”). ALL TERMS USED BUT NOT OTHERWISE DEFINED HEREIN SHALL, UNLESS OTHERWISE SPECIFICALLY DESIGNATED HEREIN, HAVE THE MEANING GIVEN TO SUCH TERMS IN THE PIPE RADS SERIES SUPPLEMENT, OR IF NOT DEFINED THEREIN IN THE RADS LETTER AGREEMENT, OR IF NOT DEFINED IN THE PIPE RADS SERIES SUPPLEMENT OR THE RADS LETTER AGREEMENT, IN THE DEPOSIT AGREEMENT. HOLDERS AND BENEFICIAL OWNERS OF THE RESTRICTED ADSs BY ACCEPTING AND HOLDING THE RESTRICTED ADSs, AND ANY INTEREST THEREIN, SHALL BE BOUND BY THE TERMS OF THE DEPOSIT AGREEMENT AND THE RADS LETTER AGREEMENT AS SUPPLEMENTED AND AMENDED BY THE PIPE RADS SERIES SUPPLEMENT. AT THE TIME OF ISSUANCE OF THE RESTRICTED ADSs, THE RESTRICTED SHARES REPRESENTED THEREBY HAD NOT BEEN REGISTERED UNDER THE UNITED STATES SECURITIES ACT OF 1933, AS AMENDED (THE “SECURITIES ACT”), AND SUCH RESTRICTED SHARES AND RESTRICTED ADSs HAD NOT BEEN REGISTERED OR QUALIFIED UNDER ANY APPLICABLE STATE SECURITIES LAWS. THESE SECURITIES MAY NOT BE OFFERED, SOLD, PLEDGED OR OTHERWISE TRANSFERRED EXCEPT PURSUANT TO (A) AN EFFECTIVE REGISTRATION STATEMENT UNDER THE SECURITIES ACT IN A TRANSACTION REGISTERED OR QUALIFIED UNDER APPLICABLE STATE SECURITIES LAWS, (B) AN AVAILABLE EXEMPTION FROM SUCH REGISTRATION OR QUALIFICATION REQUIREMENTS, UNLESS A REGISTRATION STATEMENT IS EFFECTIVE WITH RESPECT TO THESE SECURITIES, OR (C) THE SECURITIES ARE TRANSFERRED WITHOUT CONSIDERATION TO AN AFFILIATE OF SUCH HOLDER OR A CUSTODIAL NOMINEE. AS A CONDITION TO PERMITTING ANY TRANSFER OF THESE SECURITIES, EACH OF CITIBANK, N.A., IN ITS CAPACITY AS THE DEPOSITARY FOR THE RESTRICTED ADSs (THE “DEPOSITARY”), AND THE COMPANY MAY REQUIRE THAT IT BE FURNISHED WITH AN OPINION OF COUNSEL REASONABLY SATISFACTORY TO THE DEPOSITARY AND THE COMPANY TO THE EFFECT THAT NO REGISTRATION OR QUALIFICATION IS LEGALLY REQUIRED FOR SUCH TRANSFER. PRIOR TO THE SALE OF THE RESTRICTED ADSs AND ISSUANCE OF FREELY TRANSFERABLE ADSs IN RESPECT THEREOF, A HOLDER OF RESTRICTED ADSs WILL BE REQUIRED TO PROVIDE TO THE DEPOSITARY AND TO THE COMPANY A RESALE CERTIFICATION AND INSTRUCTION LETTER IN THE FORM ATTACHED TO THE PIPE RADS SERIES SUPPLEMENT OR IF NOT ATTACHED THERETO, IN THE FORM ATTACHED TO THE RADS LETTER AGREEMENT. PRIOR TO THE WITHDRAWAL OF THE RESTRICTED SHARES, A HOLDER OF RESTRICTED ADSs WILL BE REQUIRED TO PROVIDE TO THE DEPOSITARY AND TO THE COMPANY A WITHDRAWAL CERTIFICATION IN THE FORM ATTACHED TO THE PIPE RADS SERIES SUPPLEMENT OR IF NOT ATTACHED THERETO, IN THE FORM ATTACHED TO THE RADS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AGREEMENT. THE TRANSFER AND OTHER RESTRICTIONS SET FORTH HEREIN AND IN THE RADS LETTER AGREEMENT SHALL REMAIN APPLICABLE WITH RESPECT TO THE RESTRICTED ADSs AND THE RESTRICTED SHARES UNTIL SUCH TIME AS THE PROCEDURES SET FORTH IN THE PIPE RADS SERIES SUPPLEMENT OR IF NOT SET FORTH THEREIN, AS SET FORTH IN THE RADS LETTER AGREEMENT FOR REMOVAL OF RESTRICTIONS ARE SATISFIED. NEITHER THE COMPANY NOR THE DEPOSITARY MAKES ANY REPRESENTATION AS TO THE AVAILABILITY OF THE EXEMPTION PROVIDED BY RULE 144 UNDER THE SECURITIES ACT FOR RESALE OF THE RESTRICTED SHARES OR THE RESTRICTED ADSs. A COPY OF THE DEPOSIT AGREEMENT, OF THE RADS LETTER AGREEMENT AND OF THE PIPE RADS SERIES SUPPLEMENT MAY BE OBTAINED FROM THE DEPOSITARY OR THE COMPANY UPON REQUEST. In addition, the Offered ADSs may contain a legend regarding affiliate status of the Investor, if applicable. 4.11 No General Solicitation. The Investor acknowledges and agrees that the Investor is purchasing the Offered ADSs directly from the Company. Investor became aware of this offering of the Offered ADSs solely by means of direct contact from the Placement Agent or directly from the Company as a result of a pre-existing, substantive relationship with the Company or the Placement Agent, and/or their respective advisors (including, without limitation, attorneys, accountants, bankers, consultants and financial advisors), agents, control persons, representatives, Affiliates, directors, officers, managers, members, and/or employees, and/or the representatives of such persons , and, in connection with such contact, such Investor entered into a verbal or written confidentiality agreement with the Placement Agent or the Company (or an authorized agent or representative thereof). The Offered ADSs were offered to Investor solely by direct contact between Investor and the Company, the Placement Agent and/or their respective representatives. Investor did not become aware of this offering of the Offered ADSs, nor were the Offered ADSs offered to Investor, by any other means, and none of the Company, the Placement Agent and/or their respective representatives acted as investment advisor, broker or dealer to Investor. The Investor is not purchasing the Offered ADSs as a result of any general or public solicitation or general advertising, or publicly disseminated advertisement, article, notice or other communication regarding the Offered ADSs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4.12 Access to Information. In making its decision to purchase the Offered ADSs, such Investor has relied solely upon independent investigation made by such Investor, upon the SEC Reports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Offered ADSs as the Investor and the Investor’s professional advisor(s), if any, have deemed necessary to make an investment decision with respect to the Offered ADSs and that the Investor has independently made its own analysis and decision to invest in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Neither such inquiries nor any other due diligence investigation conducted by the Investor shall modify, limit or otherwise affect the Investor’s right to rely on the Company’s representations and warranties contained in this Agreement. 4.13 Certain Trading Activities.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Offered ADSs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4.14 Disqualification Event. To the extent the Investor is one of the covered persons identified in Rule 506(d)(1), the Investor represents that no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Section, “Rule 506(d) Related Party” means a person or entity that is a beneficial owner of the Investor’s securities for purposes of Rule 506(d) of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4.15 Placement Agent. The Investor acknowledges that the Placement Agent is acting as placement agent on a “best efforts” basis for the Offered ADSs and will be compensated by the Company for acting in such capacity. Such Investor hereby acknowledges and agrees that (a) the Placement Agent is acting solely as placement agent in connection with the execution, delivery and performance of the Transaction Agreements and the issuance of the Offered ADSs to such Investor, and neither the Placement Agent nor any of its Affiliates has acted as an underwriter or in any other capacity or is or shall be construed as a fiduciary or financial advisor for such Investor, the Company or any other person or entity in connection therewith, (b) the Placement Agent has not made and does not make any representation or warranty, whether express or implied, of any kind or character, and has not provided any advice or recommendation in connection with the Transaction Agreements or the Offered ADSs, nor is such information or advice necessary or desired, (c) the Placement Agent will not have any responsibility with respect to (i) any representations, warranties or agreements made by any person under or in connection with the Transaction Agreements, or the execution, legality, validity or enforceability (with respect to any person) thereof, or (ii) the business, affairs, financial condition, operations, properties or prospects of, or any other matter concerning, the Company, and (d) the Placement Agent will not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Transaction Agreements, except for the Placement Agent’s own fraud, gross negligence, willful misconduct or bad faith. No disclosure or offering document has been prepared by the Placement Agent or any of its Affiliates in connection with the offer and sale of the Offered ADSs. Neither the Placement Agent nor any of its Affiliates has made or makes any representation as to the quality or value of the Offered ADSs, and the Placement Agent and its Affiliates may have acquired non-public information with respect to the Company which such Investor agrees need not be provided to it. 4.16 Connected Persons. The Investor and, if applicable, its nominees, the persons on whose behalf it is acting as nominee to purchase the Offered ADSs and each of their respective ultimate beneficial owners (together as the “Other Purchasers”) are, and, as of the time immediately following the Closing will be, third parties: (a) independent of, and not acting in concert (as defined under the Code on Takeovers and Mergers) with, the Company or any of its directors, chief executive or substantial shareholders, or any of their respective associates; (b) independent of and not connected with the Company or the directors, chief executive, substantial shareholders or connected persons of the Company or any of its subsidiaries, or any associates of any of them; (c) who are not connected persons of the Company; (d) whose acquisition of the Offered ADSs (and the Ordinary Shares represented by them) has not been financed, directly or indirectly, by a connected person of the Company;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(e) who are not accustomed to take instructions from a connected person of the Company in relation to the acquisition, disposal, voting or other disposition of securities of the Company (including but not limited to the Offered ADSs and the Ordinary Shares represented by them) registered in the name of the Investor or any Other Purchaser or otherwise held by any of them. 5. Covenants. 5.1 Further Assurances.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Section 4 are no longer accurate. 5.2 Listing. The Company shall use commercially reasonable efforts to maintain the listing and trading of its ADSs on the Nasdaq Global Market and, in accordance therewith, will use reasonable best efforts to comply in all material respects with the Company’s reporting, filing and other obligations under the rules and regulations of Nasdaq. 5.3 Disclosure of Transactions. (a) The Company shall, by 9:00 a.m., New York City time, on the first (1st) Business Day immediately following the date of this Agreement, issue a press release and/or file with the SEC a Current Report on Form 8-K (including, if applicable, all exhibits thereto, the “Disclosure Document”) disclosing (i) all material terms of the transactions contemplated hereby and by the other Transaction Agreements and, if the Disclosure Document is a Current Report on Form 8-K, attaching this Agreement and the other Transaction Agreements as exhibits to such Disclosure Document, and (ii) all material non-public information concerning the Company disclosed to the Investors by the Company or any of its officers, directors, employees or agents (including the Placement Agent) prior to the issuance or filing of the Disclosure Document. Following the issuance or filing of the Disclosure Document, no Investor shall be in possession of any material non-public information concerning the Company received from the Company or any of its subsidiaries or any of their respective officers, directors, employees or agents (including the Placement Agent). The Company understands and confirms that the Investors will rely on the foregoing representation in effecting securities transactions contemplated by this Agreement. In addition, unless it has already done so by filing the Disclosure Document, on or before the fourth (4th) Business Day following the date of this Agreement, the Company shall file with the SEC a Current Report on Form 8-K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press release or filing with the SEC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than any registration statement contemplated by the Registration Rights Agreement) or any regulatory agency, without the prior written consent (including by e-mail)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Market or the the HK Exchange. 5.4 Integration.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Offered ADSs in a manner that would require the registration under the Securities Act of the sale of the Offered ADSs to the Investors, or that will be integrated with the offer or sale of the Offered ADSs for purposes of the rules and regulations of Nasdaq such that it would require shareholder approval prior to the closing of such other transaction unless shareholder approval is obtained before the closing of such subsequent transaction. 5.5 Removal of Legends. (a) In connection with any sale, assignment, transfer or other disposition of the Offered ADSs by an Investor pursuant to Rule 144 or pursuant to any other exemption under the Securities Act such that the purchaser acquires freely tradable securities and upon compliance by the Investor with the requirements of this Agreement, if requested by the Investor by notice to the Company, the Company shall request the Depositary to remove any restrictive legends related to the book entry account holding such securities and make a new, unlegended entry for such book entry securities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(b) Subject to receipt from the Investor by the Company and the Depositary of all certifications, instruction letters and other documentation required to be delivered by a holder of Offered ADSs under the RADS Letter Agreement and the PIPE RADS Series Supplement, together with such other customary representations and other documentation reasonably acceptable to the Company and the Depositary in connection therewith, upon the earliest of such time as the Offered ADSs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Section 5.5(b) and as soon as reasonably practicable following any request therefor from an Investor accompanied by such customary and reasonably acceptable documentation referred to above, (A) deliver to the Depositary irrevocable instructions that the Depositary shall make a new, unlegended entry for such book entry securities and (B) cause its counsel to deliver to the Depositary one or more opinions to the effect that the removal of such legends in such circumstances may be effected under the Securities Act if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by the Depositary to effect the removal of the legend in accordance with the provisions of this Agreement. (c) Each Investor agrees to deliver, or cause to be delivered, to the Company and the Depositary all certifications, instruction letters and other customary documentation required to be delivered by a holder of Offered ADSs under the RADS Letter Agreement and the PIPE RADS Series Supplement in connection with any transfer of, removal of restrictions with respect to, or exchange of, the Offered ADSs. 5.6 Withholding Taxes. Each Investor agrees to furnish the Company with any information, representations and forms as shall reasonably be requested by the Company from time to time to assist the Company in complying with any applicable tax law (including any withholding obligations). 5.7 Fees and Commissions.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 5.8 No Conflicting Agreements. The Company will not take any action, enter into any agreement or make any commitment that would conflict or interfere in any material respect with the Company’s obligations to the Investors under the Transaction Agreements. 5.9 Indemnification. (a) The Company agrees to indemnify and hold harmless each Investor and its Affiliates, and their respective directors, officers, trustees, members, managers, employees, investment advisors and agents (collectively, the “Indemnified Persons”),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as a result of any breach of representation, warranty, covenant or agreement made by or to be performed on the part of the Company under the Transaction Agreements, and will reimburse any such Indemnified Person for all such amounts as they are incurred by such Indemnified Person solely to the extent such amounts have been finally judicially determined not to have resulted from such Indemnified Person’s (or such Indemnified Person’s directors’, officers’, trustees’, members’, managers’, employees’, investment advisers’ or agents’) fraud or willful misconduct. (b)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the indemnified party, (ii) includes as an unconditional term thereof the giving of a complete, explicit and unconditional release from the party bringing such indemnified claims of all liability of the indemnified party in respect of such claim or litigation,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5.10 Deposit of Ordinary Shares. Prior to the Closing, the Company agrees (a) to deposit Ordinary Shares with the Depositary in accordance with the provisions of the Deposit Agreement, the RADS Letter Agreement and the PIPE RADS Series Supplement and will otherwise comply with the Deposit Agreement, the RADS Letter Agreement and the PIPE RADS Series Supplement so that the Offered ADSs will be issued by the Depositary as restricted ADSs against receipt of such Ordinary Shares and delivered to the Investors on the Closing Date and (b) to otherwise comply with the terms of the Deposit Agreement, the RADS Letter Agreement and the PIPE RADS Series Supplement, including without limitation, the covenants set forth therein. 5.11 Subsequent Equity Sales. From the date of this Agreement until the earlier of (a) sixty (60) days after the Closing Date and (b) the Business Day immediately following the effective date of the registration statement filed pursuant to the Registration Rights Agreement, the Company shall not (A) issue ADSs, Ordinary Shares or Ordinary Share Equivalents, (B) effect a reverse stock split, recapitalization, share consolidation, reclassification or similar transaction affecting the outstanding ADSs or Ordinary Shares or (C) file with the SEC a registration statement under the Securities Act relating to any ADSs, Ordinary Shares or Ordinary Share Equivalents, except pursuant to the terms of the Registration Rights Agreement. Notwithstanding the foregoing, the provisions of this Section 5.11 shall not apply to (i) the issuance of the Offered ADSs hereunder, (ii) the issuance of ADSs, Ordinary Shares or Ordinary Share Equivalents upon the conversion, exercise or vesting of any securities of the Company outstanding on the date of this Agreement or outstanding pursuant to clause (iii) below, (iii) the issuance of any ADSs, Ordinary Shares or Ordinary Share Equivalents pursuant to any Company stock-based compensation plans or in accordance with Nasdaq Stock Market Rule 5635(c)(4), or (iv) the filing of a registration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on Form S-8 under the Securities Act to register the offer and sale of securities on an equity incentive plan or employee stock purchase plan. 6. Conditions of Closing. 6.1 Conditions to the Obligation of the Investors. The several obligations of each Investor to consummate the transactions to be consummated at the Closing, and to purchase and pay for the Offered ADSs being purchased by it at the Closing pursuant to this Agreement, are subject to the satisfaction or waiver in writing of the following conditions precedent: (a) Representations and Warranties.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(b) Performance. The Company shall have performed in all material respects the obligations and conditions herein required to be performed or observed by the Company on or prior to the Closing Date. (c) No Injunction. The purchase of and payment for the Offered ADSs by each Investor shall not be prohibited or enjoined by any law or governmental or court order or regulation and no such prohibition shall have been threatened in writing. (d) Consents. The Company shall have obtained any and all consents, permits, approvals, registrations and waivers necessary for the consummation of the purchase and sale of the Offered ADSs, all of which shall be in full force and effect. (e) Depositary. The Company shall have furnished all required materials to the Depositary to reflect the issuance of the Offered ADSs at the Closing. (f) Adverse Changes. Since the date of this Agreement, no event or series of events shall have occurred that has had or would reasonably be expected to have a Material Adverse Effect. (g) Opinion of U.S. Company Counsel. The Company shall have delivered to the Investors and the Placement Agent the opinion of Ropes &amp; Gray LLP, dated as of the Closing Date, in customary form and substance to be reasonably agreed upon with the Investors and addressing such legal matters as the Investors and the Company reasonably agree. (h) Opinion of Cayman Islands Company Counsel. The Company shall have delivered to the Investors and the Placement Agent the opinion of Travers Thorp Alberga, dated as of the Closing Date, in customary form and substance to be reasonably agreed upon with the Investors and addressing such legal matters as the Investors and the Company reasonably agree.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(i) Compliance Certificate. An authorized officer of the Company shall have delivered to the Investors at the Closing Date a certificate certifying that the conditions specified in Sections 6.1(a) (Representations and Warranties), 6.1(b) (Performance), 6.1(c) (No Injunction), 6.1(d) (Consents), 6.1(e) (Depositary), 6.1(f) (Adverse Changes), 6.1(l) (Listing Requirements) and 6.1(m) (No Injunction) have been fulfilled. (j) Officer’s Certificate. A director or officer of the Company shall have delivered to the Investors at the Closing Date a certificate certifying (i) the Memorandum and Articles of Association and (ii) resolutions of the Company’s Board of Directors (or an authorized committee thereof) approving this Agreement, the other Transaction Agreements, the transactions contemplated by this Agreement and the issuance of the Offered ADSs. (k) Registration Rights Agreement. The Company shall have executed and delivered the Registration Rights Agreement in the form attached hereto as Exhibit B (the “Registration Rights Agreement”) to the Investors. (l) Listing Requirements. No stop order or suspension of trading shall have been imposed by Nasdaq, the SEC or any other governmental or regulatory body with respect to public trading in the ADSs. The ADSs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(m) No Injunction.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 (n) Payment. Except as may be agreed to among the Company and one or more Investors in accordance with Section 2.2, the Company shall have received payment, by wire transfer of immediately available funds, in the full amount of the purchase price for the number of Offered ADSs being purchased by each other Investor at the Closing as set forth in Exhibit A. 6.2 Conditions to the Obligation of the Company. The obligation of the Company to consummate the transactions to be consummated at the Closing, and to issue and sell to each Investor the Offered ADSs to be purchased by it at the Closing pursuant to this Agreement, is subject to the satisfaction or waiver in writing of the following conditions precedent: (a) Representations and Warranties. The representations and warranties of each Investor in Section 4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(b) Performance. Each Investor shall have performed or complied with in all material respects all obligations and conditions herein required to be performed or observed by such Investor on or prior to the Closing Date. (c) Injunction. The purchase of and payment for the Offered ADSs by each Investor shall not be prohibited or enjoined by any law or governmental or court order or regulation. (d) Registration Rights Agreement. Each Investor shall have executed and delivered the Registration Rights Agreement to the Company in the form attached as Exhibit B. (e) Payment. Except as may be agreed to among the Company and such Investor in accordance with Section 2.2, the Company shall have received payment, by wire transfer of immediately available funds, in the full amount of the purchase price for the number of Offered ADSs being purchased by each Investor at the Closing as set forth in Exhibit A. 7. Termination. 7.1 Termination. The obligations of the Company, on the one hand, and the Investors, on the other hand, to effect the Closing shall terminate as follows: (i) Upon the mutual written consent of the Company and the Investors that agreed to purchase a majority of the Offered ADSs prior to the Closing; (ii) By the Company if any of the conditions set forth in Section 6.2 shall have become incapable of fulfillment, and shall not have been waived by the Company; (iii) By an Investor (with respect to itself only) if any of the conditions set forth in Section 6.1 shall have become incapable of fulfillment, and shall not have been waived by such Investor; or (iv) By either the Company or an Investor (with respect to itself only) if the Closing has not occurred on or prior to the tenth Business Day following the date of this Agreement; 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7.2 Notice. In the event of termination by the Company or the Investor of its obligations to effect the Closing pursuant to Section 7.1, written notice thereof shall be given to the other Investors by the Company. Nothing in this Section 7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8. Miscellaneous Provisions. 8.1 Public Statements or Releases. Except as set forth in Section 5.3, neither the Company nor any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Section 5.3, nothing in this Section 8.1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Section 8.1, Investor review shall not be required for Company disclosures that are substantially consistent with prior Company disclosures. 8.2 Use of Single Agreement. For ease of administration, this single Agreement is being executed so as to enable each Investor identified on the signature pages of the Agreement to enter into an Agreement, severally, but not jointly. The parties agree that (i) this Agreement shall be treated as if it were a separate agreement with respect to each Investor listed on the signature pages of the Agreement, as if each Investor entity had executed a separate Agreement naming only itself as Investor, and (ii) no Investor listed on the signature pages of the Agreement shall have any liability under the Agreement for obligations of any other Investor so listed. 8.3 Notices.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(a) If to the Company, addressed as follows: Zai Lab Limited 314 Main Street, 4th Floor, Suite 100 Cambridge, MA, 02142 Attention: Yajing Chen Email: [***] with a copy (which shall not constitute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Ropes &amp; Gray LLP 1211 Avenue of the Americas New York, NY 10036 Attention: Arthur Mok William Michener Email: [***] [***] (b) If to any Investor, at its address or e-mail address set forth on Exhibit A or its signature page hereto, or such address as subsequently modified by written notice given in accordance with this Section 8.2. Any Person may change the address to which notices and communications to it are to be addressed by notification as provided for herein. 8.4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8.5 Governing Law; Submission to Jurisdiction; Venue; Waiver of Trial by Jury. (a) This Agreement shall be governed by, and construed in accordance with, the laws of the State of New York without regard to choice of laws or conflicts of laws provisions thereof that would require the application of the laws of any other jurisdiction. (b) The Company and each of the Investors, severally and not jointly, hereby irrevocably and unconditionally: (i) submits for itself and its property in any legal action or proceeding relating solely to this Agreement or the transactions contemplated hereby, to the general jurisdiction of any state court or United States Federal court sitting in the Borough of Manhattan, City of New York in the State of New York; (ii)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(iii) agrees that service of process in any such action or proceeding may be effected by mailing a copy thereof by registered or certified mail (or any substantially similar form of mail), postage prepaid, to the party, as the case may be, at its address set forth in Section 8.2 or at such other address of which the other party shall have been notified pursuant thereto, provided that the Company has irrevocably appointed Cogency Global Inc. which currently maintains a New York City office at 122 East 42nd Street, 18th Floor, New York, New York 10168, United States of America, as its agent to receive service of process or other legal summons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purposes of any such suit, action or proceeding that may be instituted in any state or federal court in the Borough of Manhattan, City of New York in the State of New York; (iv)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(vi) agrees that to the extent that such party has or hereafter may acquire any immunity (whether on the basis of sovereignty or otherwise) from jurisdiction of any court or from any legal process with respect to itself or its property, such party hereby irrevocably waives such immunity in respect of its obligations under this Agreement, to the extent permitted by law including, without limitation, any immunity pursuant to the United States Foreign Sovereign Immunities Act of 1976, as amended; and (vii) irrevocably and unconditionally waives trial by jury in any legal action or proceeding in relation to this Agreement. 8.6 Waiver.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8.7 Expenses.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Offered ADSs and the consummation of the transactions contemplated thereby. The Company shall pay all Placement Agent fees relating to or arising out of the transactions contemplated by this Agreement. The Company shall pay all applicable fees and charges of the Depositary in connection with the issuance of the Offered ADSs to the Investors and the removal of restrictions with respect to the Offered ADSs pursuant to Section 5.5. 8.8 Assignment.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Offered ADSs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Section 4). In the event of any assignment in accordance with the terms of this Agreement, the assignee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8.9 Confidential Information. (a) 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(b) The Company may request from the Investors such reasonable and customary additional information as the Company may deem necessary to evaluate the eligibility of the Investor to acquire the Offered ADSs,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or the HK Exchange. The Investor acknowledges that the Company may file a form of this Agreement and the Registration Rights Agreement with the SEC as exhibits to a periodic report or a registration statement of the Company. 8.10 Reliance by and Exculpation of Placement Agent. (a) Each Investor agrees for the express benefit of the Placement Agent, its Affiliates and its representatives that (i) it is not relying upon, and has not relied upon, any statement, representation or warranty made by the Placement Agent, any of its Affiliates or any of its or its representatives, in making its investment or decision to invest in the Company, (ii) the Placement Agent is acting solely as placement agent in connection with the transactions contemplated hereby and is not acting as an underwriter, initial purchaser, dealer or in any other such capacity and is not and shall not be construed as a fiduciary for such Investor, (iii) the Placement Agent, its Affiliates and representatives have not made, and will not make any representations or warranties with respect to the Company or the offer and sale of the Offered ADSs or any other matter concerning the Company or the transactions contemplated hereby, and the Investor will not rely on any statements made by the Placement Agent, orally or in writing, to the contrary, (iv) the Investor will be responsible for conducting its own due diligence investigation with respect to the Company and the offer and sale of the Offered ADSs, (v) the Investor will be purchasing Offered ADSs based on the results of its own due diligence investigation of the Company and the Placement Agent and each of its directors, officers, employees, representatives, and controlling persons have made no independent investigation with respect to the Company, the Offered ADSs, or the accuracy, completeness, or adequacy of any information supplied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Investor by the Company, (vi) the Investor has negotiated the offer and sale of the Offered ADSs directly with the Company, and the Placement Agent will not be responsible for the ultimate success of any such investment and (vii) the decision to invest in the Company will involve a significant degree of risk, including a risk of total loss of such investment. Each Investor further represents and warrants to the Placement Agent that it, including any fund or funds that it manages or advises that participates in the offer and sale of the Offered ADSs,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8.9 shall survive any termination of this Agreement. (b) The Company agrees and acknowledges that the Placement Agent may rely on its representations, warranties, agreements and covenants contained in this Agreement, and each Investor agrees that the Placement Agent may rely on such Investor’s representations and warranties contained in this Agreement as if such representations and warranties, as applicable, were made directly to the Placement Agent. (c) Neither the Placement Agent nor any of its Affiliates or representatives (1) shall be liable for any improper payment made in accordance with the information provided by the Company; (2)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fraud, gross negligence, willful misconduct or bad faith. (d) The Company agrees that the Placement Agent, its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 hereunder pursuant to the indemnification provisions set forth in the applicable letter agreement between the Company and the Placement Agent. 8.11 Third Parties.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the Placement Agent is an intended third-party beneficiary of the representations and warranties of the Company and of each Investor set forth in Section 3, Section 4 and Section 6.1(i) and Section 8.9 respectively and (ii) the Indemnified Persons are intended third-party beneficiaries of Section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8.12 Independent Nature of Investors’ Obligations and Right.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Ropes &amp; Gray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8.13 Headings. The titles, subtitles and headings in this Agreement are for convenience of reference and shall not form part of, or affect the interpretation of, this Agreement. 8.14 Counterparts.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8.15 Entire Agreement; Amendments.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of at least a majority in interest of the Offered ADSs then held by the Investors, provided that prior to the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Section 8.14 that is material and adverse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Placement Agent shall be valid without the prior written consent of the Placement Agent, which consent may be granted or withheld in the sole discretion of the Placement Agent. 8.16 Survival. The covenants, representations and warranties made by each party hereto contained in this Agreement shall survive the Closing and the delivery of the Offered ADSs in accordance with their respective terms. Each Investor shall be responsible only for its own representations, warranties, agreements and covenants hereunder. 8.17 Contract Interpretation. This Agreement is the joint product of each Investor and the Company, and each provision of this Agreement has been subject to the mutual consultation, negotiation and agreement of such parties and shall not be construed for or against any party hereto. 8.18 Arm’s Length Negotiations. For the avoidance of doubt, the parties acknowledge and confirm that the terms and conditions of the Offered ADSs were determined as a result of arm’s-length negotiations. 8.19 Currency. All references to currency herein shall be deemed to refer to United States Dollars.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 WITNESS WHEREOF, the parties hereto have executed this Agreement as of the day and year first above written. COMPANY: ZAI LAB LIMITED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 WITNESS WHEREOF, the parties hereto have executed this Agreement as of the day and year first above written. INVESTOR: By: Name: Title: Address: Email: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EXHIBIT A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B FORM OF REGISTRATION RIGHTS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projectzenith-rrax8xkex.htm"/>
      <w:bookmarkStart w:id="3" w:name="ksprojectzenithrrax8xkex"/>
      <w:bookmarkEnd w:id="2"/>
      <w:bookmarkEnd w:id="3"/>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REGISTRATION RIGHTS AGREEMENT THIS REGISTRATION RIGHTS AGREEMENT (this “Agreement”), dated as of October 22, 2026, is entered into by and among Zai Lab Limited, an exempted company incorporated with limited liability under the laws of the Cayman Islands (the “Company”), and the several investors signatory hereto (individually as an “Investor” and collectively together with their respective permitted assigns, the “Investors”).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“Purchase Agreement”). WHEREAS: A. Upon the terms and subject to the conditions of the Purchase Agreement, the Company has agreed to issue to the Investors, and the Investors have agreed to purchase, severally and not jointly, American Depositary Shares (“ADSs”), each representing ten ordinary shares (the “Ordinary Shares”), par value $0.000006 per share, of the Company (the “Registrable ADSs”), pursuant to the Purchase Agreement. B. To induce the Investors to enter into the Purchase Agreement, the Company has agreed to provide certain registration rights under the U.S. Securities Act of 1933, as amended, and the rules and regulations thereunder, or any similar successor statute (collectively, the “Securities Act”), and applicable state securities laws. NOW, THEREFORE, in consideration of the promises and the mutual covenants contained herein and other good and valuable consideration, the receipt and sufficiency of which are hereby acknowledged, the Company and the Investors hereby agree as follows: 1. DEFINITIONS. For purposes of this Agreement, the following terms shall have the following meanings: (a) “Cut Back Shares” has the meaning set forth in Section 2(e). (b) “Opt-Out Notice” has the meaning set forth in Section 2(d). (c) “Person” means an individual, partnership, corporation, limited liability company, business trust, joint stock company, trust, unincorporated association, joint venture or any other entity or organization. (d) “Principal Trading Market” means the national securities exchange or other trading market on which the ADSs are primarily listed on and quoted for trading, which, as of the original issue date, shall be the Nasdaq Global Market. (e) “Prospectus”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 “Register,” “Registered,” “Registering,” and “Registration”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“SEC”). (g) “Registrable Securities” means the Registrable ADSs and any ADSs issued or issuable with respect to the Registrable ADSs as a result of any share split or subdivision, share dividend, recapitalization, exchange or similar event. Registrable Securities shall cease to be Registrable Securities upon the earliest to occur of (A) the date on which the Investors shall have resold all the Registrable Securities covered by the Registration Statement pursuant to a Registration Statement or Rule 144 and (B) the date the Registrable ADSs become eligible for resale without any volume limitations or other restrictions pursuant to Rule 144(b)(1)(i) under the Securities Act and without the requirement for the Company to be in compliance with the current public information requirements under Rule 144(c)(1) (or any successor provision). (h) “Registration Expenses”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(i) “Registration Statement” means any registration statement of the Company filed with, or to be filed with, the SEC under the Securities Act, that Registers the Registrable Securities, including the related Prospectus, amendments and supplements to such registration statement, including any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(j) “Restriction Termination Date” has the meaning set forth in Section 2(e). (k) “SEC Restrictions” has the meaning set forth in Section 2(e). (l) “SEC Guidance” means (i) any publicly available written or oral guidance of the SEC staff, or any comments, requirements or requests of the SEC staff (whether or not publicly available); provided, that any such oral guidance, comments, requirements or requests are reduced to writing by the SEC (and shared with the Investors upon request if not publicly available) and (ii) the Securities Act. (m) “Required Investors” means the Investors holding a majority of the Registrable Securities outstanding from time to time. (n) “Selling Expenses” means all underwriting discounts and selling commissions applicable to the sale of Registrable Securities and all similar fees and commissions relating to the Investors’ disposition of the Registrable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 REGISTRATION. (a) Mandatory Registration. The Company shall, as promptly as reasonably practicable and in any event no later than 30 days after the Closing Date (the “Filing Deadline”), prepare and file with the SEC an initial Registration Statement on Form S-3 (the “Initial Registration Statement”) Registering the resale of all Registrable Securities.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ADSs resulting from share splits, share dividends or similar transactions with respect to the Registrable Securities. Such Registration Statement shall not include any ADSs or other securities for the account of any other holder of securities of the Company without the prior written consent of the Required Investors. The Company shall (a) use commercially reasonable efforts to address in each such document prior to being so filed with the SEC such comments as the Investor or its counsel reasonably propose, and (b) not file any Registration Statement or Prospectus or any amendment or supplement thereto containing information regarding the Investor to which the Investor reasonably objects, unless such information is required (in the reasonable opinion of the Company) to comply with any applicable law or regulation or SEC Guidance. The Investors shall promptly furnish all information reasonably requested by the Company and as shall be reasonably required in connection with any registration referred to in this Agreement. (b) Effectiveness. The Company shall use its reasonable best efforts to have the Initial Registration Statement and any amendment declared effective by the SEC at the earliest possible date, but, in any event, no later than the earlier of: (a) the 60th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(the “Effectiveness Deadline”). The Company shall notify the Investor by e- mail as promptly as practicable, and in any event, within 24 hours, after the Initial Registration Statement is declared effective or is supplemented and shall provide the Investor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no Registrable Securities remain outstanding (the “Registration Period”).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(c) Sufficient Number of Securities Registered. In the event the number of securities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“New Registration Statement”), so as to cover all of such Registrable Securities as soon as reasonably practicable, but in any event not later than ten Business Days after the necessity therefor arises (the “New Registration Filing Deadline”). The Company shall use its reasonable best efforts to have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amendment and/or New Registration Statement become effective as soon as reasonably practicable following the filing thereof but, in any event, no later than the earlier of: (a)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“New Registration Effectiveness Deadline”). The provisions of Section 2(a) and (b) shall apply to the New Registration Statement, except as modified hereby. (d) Allowed Delays. On no more than two occasions and for not more than 30 consecutive days or for a total of not more than 60 days in any 12-month period, the Company may delay the effectiveness of the Initial Registration Statement or any other Registration Statement, or suspend the use of any Prospectus, in the event that the Company or Board of Directors determines, in good faith and upon advice of legal counsel, that such delay or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“Allowed Delay”); provided, that the Company shall promptly (a) notify each Investor in writing of the commencement of an Allowed Delay, but shall not (without the prior written consent of an Investor) disclose to such Investor any material non- 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“Opt-Out Notice”) to the Company requesting that such Investor not receive notices from the Company otherwise required by this Section 2 or Section 3(e); provided, however, that such Investor may later revoke any such Opt-Out Notice in writing. Following receipt of an Opt-Out Notice from an Investor (unless subsequently revoked), (a) the Company shall not deliver any notices pursuant to this Section 2(d) to such Investor and such Investor shall no longer be entitled to the rights associated with any such notice and (b) each time prior to such Investor’s intended use of an effective Registration Statement, such Investor will notify the Company in writing at least two Business Days in advance of such intended use, and if a notice of an Allowed Delay or Suspension Event (as defined in Section 3(e)) was previously delivered (or would have been delivered but for the provisions of this Section 2(d)) and the related suspension period remains in effect, the Company will so notify such Investor, within one (1) Business Day of such Investor’s notification to the Company, by delivering to such Investor a copy of such previous notice of an Allowed Delay or a Suspension Event, as applicable, and thereafter will provide such Investor with the related notice of the conclusion of such Allowed Delay or Suspension Event, as the case may be, immediately upon the conclusion thereof (which notices shall not contain any material nonpublic information or subject such Investor to any duty of confidentiality). (e) Rule 415; Cutback.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pursuant to this Section 2(e),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Section 2(e), the SEC refuses to alter its position, the Company shall (i) remove from such Registration Statement such portion of the Registrable Securities (the “Cut Back Shares”) and/or (ii) agree to such restrictions and limitations on the registration and resale of the Registrable Securities as the SEC may require to assure the Company’s compliance with the requirements of Rule 415 (collectively, the “SEC Restrictions”);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Section 2(e)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such date as the Company is able to effect the registration of such Cut Back Shares in accordance with any SEC Restrictions applicable to such Cut Back Shares (such date, the “Restriction Termination Date”), all of the provisions of this Section 2 (including the Company’s obligations with respect to the filing of a Registration Statement and its obligations to use reasonable efforts to have such Registration Statement declared effective within the time periods set forth herein) shall again be applicable to such Cut Back Shares and any registration statement so filed shall be deemed a “Registration Statement” under this Agreement; provided, however, that the date by which the Company is required to file the Registration Statement with respect to such Cut Back Shares shall be the tenth day following the Restriction Termination Date and the date by which the Company is required to have the Registration Statement effective with respect to such Cut Back Shares shall be the 55th day immediately after the Restriction Termination Date. (f) Form S-3. In the event that Form S-3 is not available for the registration of the resale of Registrable Securities hereunder, the Company shall (i) register the resale of the Registrable Securities on another appropriate form reasonably acceptable to the Investors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SEC. 3. RELATED COMPANY OBLIGATIONS. With respect to the Registration Statement and whenever any Registrable Securities are to be Registered pursuant to Section 2,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(a) Notifications.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 Amendments. The Company will prepare and file with the SEC any amendments, post-effective amendments or supplements to the Initial Registration Statement, any New Registration Statement or any Prospectus, as applicable, that, (a) may be necessary to keep such Registration Statement effective for the Registration Period and to comply with the provisions of the Securities Act and the Securities Exchange Act of 1934, as amended (the “Exchange Act”), with respect to the distribution of all of the Registrable Securities covered thereby, or (b) in the reasonable opinion of the Investors and the Company, may be necessary or advisable in connection with any acquisition or sale of Registrable Securities by the Investors. (c) Investor Review.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Business Days prior to filing with the SEC and (B) the Company shall have given reasonable due consideration to any comments thereon received from the Investors or their counsel. (d) Copies Available.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 (e) Notification of Stop Orders; Material Changes.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the Securities Act or any other law. The Company shall not be required to disclose to the Investors the substance of specific reasons of any of the events set forth in clause (i) to (iii) of the immediately preceding sentence (each, a “Suspension Event”),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Section 3(e),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12-month period. (f) Confirmation of Effectiveness.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(g) Listing. The Company shall use best efforts to cause all Registrable Securities covered by a Registration Statement to be listed on the Principal Trading Market. (h) Compliance.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subsection 3(h), “Availability Date” means the 45th day following the end of the fourth fiscal quarter that includes the effective date of such Registration Statement, except that, if such fourth fiscal quarter is the last quarter of the Company’s fiscal year, “Availability Date” means the 90th day after the end of such fourth fiscal quarter). (i) Blue-Sky. The Company shall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this Section 3(i), (ii) subject itself to general taxation in any jurisdiction where it would not otherwise be so subject but for this Section 3(i), or (iii) file a general consent to service of process in any such jurisdiction. (j) Rule 144. With a view to making available to the Investors the benefits of Rule 144 (or its successor rule) and any other rule or regulation of the SEC that may at any time permit the Investors to sell ADSs to the public without registration, for so long as the Registrable Securities are outstanding,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(k) Cooperation. The Company shall cooperate with the holders of the Registrable Securities to facilitate the timely preparation and delivery of uncertificated ADSs representing the Registrable Securities to be sold pursuant to such Registration Statement or Rule 144 free of any restrictive legends and representing such number of ADSs and registered in such names as the holders of the Registrable Securities may reasonably request to the extent permitted by such Registration Statement or Rule 144 to effect sales of Registrable Securities ; for the avoidance of doubt, the Company may satisfy its obligations hereunder without issuing physical share certificates through the use of The Depository Trust Company’s Direct Registration System. 4. OBLIGATIONS OF THE INVESTORS. (a) Investor Information. Each Investor shall provide a completed Investor Questionnaire in the form attached hereto as Exhibit B in connection with the registration of the Registrable Securities. If the Company has not received such completed Questionnaire from an Investor within three business days of the Company’s request, the Company may file the Registration Statement without including such Investor’s Registrable Securities. (b) Suspension of Sales. Each Investor, severally and not jointly with any other Investor, agrees that, upon receipt of any notice from the Company of the existence of an Allowed Delay or a Suspension Event as set forth in Section 3(e),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depositary to deliver unlegended ADSs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 Investor Cooperation.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5. EXPENSES OF REGISTRATION. 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6. INDEMNIFICATION. (a) To the fullest extent permitted by law, the Company will, and hereby does, indemnify, hold harmless and defend the Investors,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(each, an “Indemnified Person”),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“Claims”)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(“Indemnified Damages”),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“Violations”). The Company shall reimburse each Indemnified Person promptly as such expenses are incurred and are due and payable, for any reasonable and documented out-of-pocket legal fees or other reasonable and documented expenses incurred by them in connection with investigating or defending any such Claim. Notwithstanding anything to the contrary contained herein, the indemnification agreement contained in this Section 6(a):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in each case if such information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Section 8. (b) 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“Indemnified Party”), against any Claims resulting from any Violation, in each case to the extent, and only to the extent, that such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Section 8. (c) 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(d) 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which person is later determined to not be entitled to such payment shall return such payment (including reimbursement of expenses) to the person making it. (e) The indemnity agreements contained herein shall be in addition to (i) any cause of action or similar right of the Indemnified Party or Indemnified Person against the indemnifying party or others, and (ii) any liabilities the indemnifying party may be subject to pursuant to the law. 7. CONTRIBUTION. 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Section 7 and the amount of any damages such holder has otherwise been required to pay by reason of such untrue or alleged untrue statement or omission or alleged omission) received by such seller from the sale of such Registrable Securities giving rise to such contribution obligation. 8. ASSIGNMENT OF REGISTRATION RIGHTS. 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or exchanged for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An Investor may transfer or assign its rights hereunder, in whole or from time to time in part, to one or more Persons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 The provisions of this Agreement shall be binding upon and inure to the benefit of the Investor and its successors and permitted assigns. 9. AMENDMENTS AND WAIVERS. 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and (3) any amendments to Section 6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10. MISCELLANEOUS. (a) Notices.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 i. If to the Company, addressed as follows: Zai Lab Limited 314 Main Street, 4th Floor, Suite 100 Cambridge, MA, 02142 Attention: Yajing Chen Email: [***] with a copy (which shall not constitute notice): Ropes &amp; Gray LLP 1211 Avenue of the Americas New York, NY 10036 Attention: Arthur Mok William Michener Email: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ii. If to any Investor, at its e-mail address or address set forth on its signature page to the Purchase Agreement or to such e-mail address, or address as subsequently modified by written notice given in accordance with this Section 10. Any Person may change the address to which notices and communications to it are to be addressed by notification as provided for herein. (b) Waiver.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(c) Use of Single Agreement. For ease of administration, this single Agreement is being executed so as to enable each Investor identified on the signature pages of the Agreement to enter into an Agreement, severally, but not jointly. The parties agree that (i) this Agreement shall be treated as if it were a separate agreement with respect to each Investor listed on the signature pages of the Agreement, as if each Investor entity had executed a separate Agreement naming only itself as Investor, and (ii) no Investor listed on the signature pages of the Agreement shall have any liability under the Agreement for obligations of any other Investor so listed. (d) Governing Law. The provisions of Section 8.4 of the Purchase Agreement are incorporated by reference herein mutatis mutandis. (e) Headings. The titles, subtitles and headings in this Agreement are for convenience of reference and shall not form part of, or affect the interpretation of, this Agreement. (f) Counterparts.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(g) 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(h) Contract Interpretation. This Agreement is the joint product of each Investor and the Company, and each provision hereof has been subject to the mutual consultation, negotiation and agreement of such parties and shall not be construed for or against any party hereto. (i) No Third Party Beneficiaries.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(j)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(k) Non-Recourse.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shareholder,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shareholder,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(l) Specific Performance.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(m) Cumulative Remedies. The remedies provided herein are cumulative and not exclusive of any remedies provided by law.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Registration Rights Agreement] IN WITNESS WHEREOF, the parties have caused this Registration Rights Agreement to be duly executed as of date first written above. COMPANY: ZAI LAB LIMITED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Registration Rights Agreement] IN WITNESS WHEREOF, the parties have caused this Registration Rights Agreement to be duly executed as of date first written above. INVESTOR: [NAME]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A PLAN OF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Exhibit B Investor Questionnaire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corporatedeck_vfinal4.htm"/>
      <w:bookmarkStart w:id="5" w:name="kscorporatedeck_vfinal4"/>
      <w:bookmarkEnd w:id="4"/>
      <w:bookmarkEnd w:id="5"/>
      <w:r>
        <w:rPr/>
        <w:drawing>
          <wp:inline distT="0" distB="0" distL="0" distR="0">
            <wp:extent cx="9753600" cy="5486400"/>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 2026. Zai Lab. All Rights Reserved.NASDAQ:ZLAB | HKEX:9688 Advancing First- and Best-in- Class Therapies in Oncology and Immunology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2 Forward-Looking Statements This presentation contains forward-looking statements, including statements relating to our strategy and plans; potential of and expectations for our business, commercial products, and pipeline programs; our goals, objectives, and priorities and our expectations under our growth strategy (including our expectations regarding our commercial products and launches and clinical stage products); the peak sales potential of our programs; capital allocation and investment strategy; clinical development programs and related clinical trials, including the planned initiation, design, and number of clinical trials, our plans for combination regimens with our collaboration partners; expected timing and results of clinical trial data, data readouts, and presentations; regulatory discussions, submissions, filings, and approvals and the timing thereof, including expected timing of investigational new drug applications, the potential submission of our first biologics license application and potential global approvals; the potential benefits, safety, and efficacy of our products and product candidates and those of our collaboration partners; the anticipated benefits and potential of investments, collaborations, and business development activities; the potential market opportunities of, and estimated addressable markets for, our commercial products and product candidates, including estimated patient populations; and our future financial and operating results. All statements, other than statements of historical fact, included in this presentation are forward-looking statements, and can be identified by words such as “aim,” “anticipate,” “believe,” “continue,” “could,” “estimate,” “expect,” “forecast,” “goal,” “intend,” “may,” “plan,” “possible,” “potential,” “projected,” “target,” “will,” “would,” and other similar expressions. Such statements constitute forward-looking statements within the meaning of U.S. federal securities laws. Forward-looking statements are not guarantees or assurances of future performance because there are inherent difficulties in predicting future results. Forward-looking statements are based on our expectations and assumptions as of the date of this presentation and are subject to inherent uncertainties, risks, and changes in circumstances that may differ materially from those contemplated by the forward-looking statements. We may not actually achieve the plans, carry out the intentions, or meet the expectations or projections described in our forward-looking statements, and you should not place undue reliance on these forward-looking statements. Actual results may differ materially from those indicated by such forward-looking statements as a result of various important factors, including but not limited to (1) our ability to successfully commercialize and generate revenue from our approved products, (2) our ability to obtain funding for our operations and business initiatives, (3) the results of clinical and pre-clinical development of our product candidates, including the risk that preliminary or interim data may not be predictive of final or later-stage results and that cross-trial comparisons may not be meaningful, (4) the content and timing of decisions made by the relevant regulatory authorities regarding regulatory approvals of our product candidates, (5) potential competition from products and product candidates of other pharmaceutical and biotechnology companies, (6) any inability of third parties on whom we rely, such as our licensors and collaboration partners, to successfully carry out their contractual duties or meet expected deadlines, (7) risks related to doing business in China, and (8) other factors discussed in our most recent annual and quarterly reports and current reports we have filed with the U.S. Securities and Exchange Commission.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Market and Industry Data Unless otherwise indicated, market and industry data contained in this presentation, including estimated addressable markets, patient populations, and potential market opportunities, are based on management’s estimates and research, as well as industry and general publications and research, surveys, and studies conducted by third parties. We have not independently verified the accuracy or completeness of this information. Management’s estimates are derived from publicly available information, their knowledge of our industry, and their assumptions based on such information and knowledge. This data involves a number of assumptions and limitations, and the industry in which we operate is subject to a high degree of uncertainty and risk due to a variety of factors. Trademarks The trademarks and registered trademarks appearing in this presentation are the property of their respective holders. No Offer or Solicitation This presentation shall not constitute an offer to sell or the solicitation of an offer to buy, nor shall there be any sale of any securities in any state or other jurisdiction in which such offer, solicitation, or sale would be unlawful prior to the registration or qualification under the securities laws of any such state or other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2023. Zai Lab. All Rights Reserved.NASDAQ:ZLAB | HKEX:9688 DLL3 ADC Zoci (ZL-1310) Backbone ADC in SCLC and NEC ESMO 2026 Data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Zoci: A next-generation ADC engineered for potency and tolerability Sources: (1):218; Liu LN, et al. Poster presented at: ELCC; March 22, 2024; Prague, Czech Republic. TMALIN = Tumor Microenvironment-Activable LINker-payload; (2) Sabari JK, et al. Nat Rev Clin Oncol. 2017;14(9):549‒61; (3) Saunders LR, et al. Sci Transl Med. 2015;7(302):302ra136; (4) Petrelli F, et al. Mol Clin Oncol. 2021;15 4 Zocilurtatug pelitecan, or zoci, is a novel ADC targeting DLL3, a neuroendocrine-specific antigen that is highly expressed in SCLC2-4 and validated as a therapeutic target A: Humanized anti-DLL3 IgG1 mAb B: Cleavable tripeptide-based linker C: Camptothecin derivative payload, C24 A B C Key Properties Zoci is built on the TMALIN® platform for potent, targeted tumor killing1 DAR=8 Efficient payload delivery to targeted cells Potent Bystander Killing Topo-1 inhibitor payload C24 for maximum tumor impact, including heterogeneous tumors TME-Specific Release Minimizes systemic toxicity for better tolerability through tumor microenvironment-activable linker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Five attributes position zoci as a potential backbone ADC in SCLC and NEC 5 A differentiated clinical profile, a global Phase 3 underway and a broad development program in SCLC and NEC 01 High response rates 02 Durable responses 03 04 05 Leading global development Strong efficacy • Favorable tolerability • Intracranial activity • Global scale Robust brain activity Potential best-in-class safety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Advancing zoci across multiple indications and treatment settings 6 Indication Line Regimen Phase Development Status ES-SCLC 2L+ Zoci monotherapy Phase 3 Phase 3 ongoing 1L Zoci + PD-L1 Phase 1 Phase 1 ongoing; Phase 3 in planning 1L+ Zoci + TCE ± PD-L1 Phase 1b Phase 1b ongoing epNEC 2L Zoci monotherapy Phase 1/2 Registrational cohort fully enrolled 1L+ Zoci + TCE ± PD-L1 Phase 1b/2 Phase 1b/2 initiating Other exploratory indications: LS-SCLC, brain tumor, LCNEC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Zoci combines strong efficacy and favorable tolerability, enabling broad development across SCLC Sources: (1) Rocha, Pedro. AACR-NCI-EORTC 2025; (2) Rocha, Pedra. AACR 2026. Abstract 10362; (3) Giannis Mountzios, M.D., Ph.D., NEJM 2025 (DeLLphi-304); (4) Caicun Zhou. WCLC 2025. Grade ≥3 TRAEs for selected go-forward dose of 2.0mg/kg. (5) Myung-Ju Ahn. WCLC 2025 (IDeate-Lung01); (6) Li Zhang. WCLC 2026 (TAISHAN-302); (7) Linlin Wang. WCLC 2025; (8) Lauren A. Byers, WCLC 2025. Grade ≥3 TRAEs for selected go-forward dose of 1.8mg/kg. (9) J. Wang. WCLC 2026 (ARTEMIS-008) 7 Potential first-in-class DLL3 ADC with systemic + intracranial activity, and a best-in-class safety profile 68% High response rates ORR in 2L SCLC with 1.6 mg/kg¹ 6.1 mo Durable responses Median DoR in 2L+ across all doses¹ 62.5% Robust activity in brain Confirmed intracranial ORR, including 25% CR² Potential best-in-class safety Grade ≥3 TRAEs in 2L+ SCLC, % of patients (cross-trial) 13% 27% 35% 37% 46% 48% 49% 61% Zoci (1.6 mg/kg) Tarlatamab QLC5508 I-DXd Tam-Peli IDE849 ABBV-706 Ris-Rez Zoci (1.6 / 1 3 4 5 6 7 8 9 Zoci in 2L+ SCLC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study design evaluating zoci + IO ± carboplatin in 1L SCLC Note: This report includes efficacy and safety for 1L patients who have the opportunity of at least 12 weeks follow-up and data cutoff date was Sep 09, 2026. Safety: AE assessed by CTCAE v 5.0; Response was assessed by investigator per RECIST v1.1. Tumor evaluation is scheduled every 6 weeks for the first 30 weeks, then every 9 weeks till disease progression or death/withdraw consent/lost to follow-up. Sources: Zhao, Jun. ESMO 2026 Poster. CohortsTreatment Doublet Zoci + atezolizumab Triplet Zoci + atezolizumab + carboplatin (followed by Zoci + atezolizumab maintenance) Dose escalation Zoci (0.8, 1.2, 1.6 mg/kg) + atezolizumab r/r ES-SCLC ≤2 prior lines Backfill Zoci (1.2, 1.6 mg/kg) + atezolizumab 1L ES-SCLC or 1L maintenance Dose expansion Zoci 1.6 mg/kg + atezolizumab 1L ES-SCLC Triplet dose escalation Zoci 0.8 mg/kg + Atezo + Carbo 5 mg/ml/min; Zoci 0.8 mg/kg + Atezo + Carbo 4 mg/ml/min; Zoci 1.2 mg/kg + Atezo + Carbo 4 mg/ml/min All patients enrolled in triplet regimen are 1L ES-SCLC (n=13) Asymptomatic brain metastasis (treated or untreated) allowed, Prior DLL3-targeted therapy allowed, ECOG Performance Status 0-1 8 ESMO 2026 ESMO 2026 dataset includes: 43 1L ES-SCLC patients (1.6 mg/kg n=33; 1.2 mg/kg n=10) 13 1L ES-SCLC patients (all triplet cohorts)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Demographics and baseline characteristics 9Source: Zhao, Jun. ESMO 2026 Poster. Demographics and Baseline Characteristics for 1L Patients Doublet selected as go-forward combination ESMO 2026 Zoci + atezolizumab doublet Zoci + atezolizumab + carboplatin triplet Dose Level Total Dose Level TotalZoci Zoci Carbo AUC5 Carbo AUC4 1.2mg/kg (n=10) 1.6mg/kg (n=33) Total (n=43) 0.8 mg/kg (n=4) 0.8 mg/kg (n=3) 1.2 mg/kg (n=6) Total (n=13) Male, n (%) 8 (80.0) 26 (78.8) 34 (79.1) 3 (75.0) 3 (100 ) 4 (66.7) 10 (76.9) Age, median (range), years 62 (51, 75) 63 (46, 75) 63 (46, 75) 61 (58, 66) 69 (66, 69) 68 (59, 75) 66 (58, 75) ECOG PS = 1, n (%) 7 (70.0) 25 (75.8) 32 (74.4) 3 (75.0) 3 (100) 5 (83.3) 11 (84.6) Race, n (%) Asian 10 (100) 30 (90.9) 40 (93.0) 3 ( 75.0) 2 ( 66.7) 2 ( 33.3) 7 (53.8) White 0 3 (9.1) 3 (7.0) 0 1 ( 33.3) 4 ( 66.7) 5 (38.5) Brain Metastasis-Yes, n (%) 2 (20.0) 6 (18.2) 8 (18.6) 1 ( 25.0) 0 2 ( 33.3) 3 ( 23.1) Stage IV disease at initial diagnosis, n (%) 8 (80.0) 25 (75.8) 33 (76.7) 3 (75.0) 2 (66.7) 5 (83.3) 10 (76.9)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sz w:val="2"/>
        </w:rPr>
        <w:t>1L SCLC: Zoci in combination with atezolizumab demonstrates a high rate of robust responses Source: Zhao, Jun. ESMO 2026 Poster. Data cut-off (DCO) is Sep 9, 2026.* Patients without target lesions at baseline or evaluable post-baseline tumor assessments were not shown. As of the DCO, two patients reached EOT without disease progression before an evaluable post-baseline assessment was obtained. Target Tumor Reduction per RECIST v1.1 by Investigator Assessment 10 81.8% ORR in 1L SCLC with a chemo-free regimen (1.6 mg/kg Zoci + atezolizumab) Tumor response Zoci 1.2 mg/kg + Atezo (N=10) Zoci 1.6 mg/kg + Atezo (N=33) Best overall response, n (%) CR 0 0 PR 8 (80.0) 27 (81.8) SD 2 (20.0) 2 (6.1) PD 0 2 (6.1) cORR, % (95% CI) 80.0 (44.4, 97.5) 81.8 (64.5, 93.0) ESMO 2026 -110 -100 -90 -80 -70 -60 -50 -40 -30 -20 -10 0 10 20 30 40 50 → → → * → → → → → → * * → → → → → → → → → → → → → → → → → → → → → → * *BOR per RECIST v1.1 SD PD Zoci 1.2 mg/kg + Atezolizumab (n=10</w:t>
      </w:r>
      <w:r>
        <w:rPr>
          <w:color w:val="FFFFFF"/>
          <w:sz w:val="2"/>
        </w:rPr>
        <w:t xml:space="preserve">） </w:t>
      </w:r>
      <w:r>
        <w:rPr>
          <w:color w:val="FFFFFF"/>
          <w:sz w:val="2"/>
        </w:rPr>
        <w:t>Zoci 1.6 mg/kg + Atezolizumab (n=31</w:t>
      </w:r>
      <w:r>
        <w:rPr>
          <w:color w:val="FFFFFF"/>
          <w:sz w:val="2"/>
        </w:rPr>
        <w:t xml:space="preserve">） → </w:t>
      </w:r>
      <w:r>
        <w:rPr>
          <w:color w:val="FFFFFF"/>
          <w:sz w:val="2"/>
        </w:rPr>
        <w:t xml:space="preserve">Treatment Ongoing * Brain Metastatic Be st P er ce nt ag e C ha ng e fro m B as el in e in th e Su m o f t he D ia m et er s of T ar ge t L es io n (% ) * * * Confirmed PR Zoci + atezolizumab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sz w:val="2"/>
        </w:rPr>
        <w:t>1L SCLC: Rapid, deep tumor reduction with emerging durability Abbreviation: Not reached (NR). Duration of response (DoR). Source: Zhao, Jun. ESMO 2026 Poster. Data cut-off (DCO) is Sep 9, 2026. 11 ESMO 2026 97.1% 34 of 35 responders achieved response at the first post-baseline tumor assessment NR Median DoR In the first 15 patients of 1.6mg/kg doublet in 1L: (median follow-up: 10 mo) Across both dose levels in 1L: Durable Tumor Reduction Observed in Doublet Cohorts Zoci + atezolizumab Pe rc en ta ge C ha ng e fro m B as el in e in th e Su m of th e D ia m et er s of T ar ge t L es io n (% ) Months after Treatment Initiation Zoci 1.6 mg/kg + Atezolizumab (n=31</w:t>
      </w:r>
      <w:r>
        <w:rPr>
          <w:color w:val="FFFFFF"/>
          <w:sz w:val="2"/>
        </w:rPr>
        <w:t xml:space="preserve">） → </w:t>
      </w:r>
      <w:r>
        <w:rPr>
          <w:color w:val="FFFFFF"/>
          <w:sz w:val="2"/>
        </w:rPr>
        <w:t>Treatment Ongoing Overall Response per RECISTv1.1 PR SD PD Zoci 1.2 mg/kg + Atezolizumab (n=10</w:t>
      </w:r>
      <w:r>
        <w:rPr>
          <w:color w:val="FFFFFF"/>
          <w:sz w:val="2"/>
        </w:rPr>
        <w:t xml:space="preserve">） </w:t>
      </w:r>
      <w:r>
        <w:rPr>
          <w:color w:val="FFFFFF"/>
          <w:sz w:val="2"/>
        </w:rPr>
        <w:t>25/33 (75.8%) of patients on 1.6 mg/kg doublet are still on treatment as of DCO. Zoci 1.2 mg/kg + Atezolizumab (n=10</w:t>
      </w:r>
      <w:r>
        <w:rPr>
          <w:color w:val="FFFFFF"/>
          <w:sz w:val="2"/>
        </w:rPr>
        <w:t xml:space="preserve">） </w:t>
      </w:r>
      <w:r>
        <w:rPr>
          <w:color w:val="FFFFFF"/>
          <w:sz w:val="2"/>
        </w:rPr>
        <w:t>Zoci 1.6 mg/kg + Atezolizumab (n=31</w:t>
      </w:r>
      <w:r>
        <w:rPr>
          <w:color w:val="FFFFFF"/>
          <w:sz w:val="2"/>
        </w:rPr>
        <w:t xml:space="preserve">） → </w:t>
      </w:r>
      <w:r>
        <w:rPr>
          <w:color w:val="FFFFFF"/>
          <w:sz w:val="2"/>
        </w:rPr>
        <w:t xml:space="preserve">Treatment Ongoing Overall Response per RECISTv1.1 PR SD PD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1L SCLC: Progression-free survival with zoci in combination with atezolizumab Source: Zhao, Jun. ESMO 2026 Poster. Data cut-off (DCO) is Sep 9, 2026. Zoci 1.6mg/kg + atezolizumab ESMO 2026 6-month PFS rate 81.9% Median follow-up: 4.6 months Pr og re ss io n- Fr ee S ur vi va l P ro ba bi lit y (% ) Time from First Dose (Months)No at risk 1.6 mg/kg + atezo 33 30 29 18 14 11 11 8 8 3 0 In the first 15 patients of 1.6mg/kg doublet in 1L: (median follow-up: 10 mo) 66.7% Have not yet experienced disease progression or death at DCO Initial Cohort + Expansion Cohort | n=33 Median PFS Not reached 12 All 33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1L SCLC: Best-in-class safety profile amenable to combination treatment Low rates of Grade ≥3 AEs in combination with atezolizumab Source: Zhao, Jun. ESMO 2026 Poster. Data cut-off (DCO) is Sep 9, 2026. * As dose expansion of Zoci + atezolizumab was ongoing at the data cutoff, safety data remain preliminary and subject to ongoing data cleaning. (1) Drug interruption includes infusion interruption or treatment delay compared with the scheduled date due to AE. 13 AEs, n (%) Zoci 1.2 mg/kg + Atezolizumab (N=10) Zoci 1.6 mg/kg + Atezolizumab (N=33) Total (N=43) Any 10 (100) 32 (97.0) 42 (97.7) Related to Zoci 10 (100) 31 (93.9) 41 (95.3) Serious 4 (40.0) 6 (18.2) 10 (23.3) Related to Zoci 2 (20.0) 3 (9.1) 5 (11.6) Grade ≥ 3 5 (50.0) 7 (21.2) 12 (27.9) Related to Zoci 4 (40.0) 3 (9.1) 7 (16.3) Leading to Zoci Drug Interruption1 5 (50.0) 9 (27.3) 14 (32.6) Related to Zoci 4 (40.0) 5 (15.2) 9 (20.9) Leading to Zoci Dose Reduction 0 2 (6.1) 2 (4.7) Related to Zoci 0 2 (6.1) 2 (4.7) Leading to Zoci Drug Discontinuation 1 (10.0) 0 1 (2.3) Related to Zoci 1 (10.0) 0 1 (2.3) Safety Summary 1.6 mg/kg + atezolizumab | N=33 9.1% Grade ≥3 AEs related to Zoci 3.0% ILD/pneumonitis (1/33), Grade 1 0 No deaths No drug discontinuations ESMO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1L SCLC treatment landscape is evolving and zoci is strategically well positioned Sources: (1) Horn, NEJM 2018 (IMpower133); Paz-Ares, Lancet 2019 (CASPIAN). Grade 3/4 AEs for IO + chemo: IMpower133 56.6%, CASPIAN 62% (all-cause) 14 1 TODAY’S SOC IO + platinum/etoposide ± lurbi maintenance 2 WHERE SOC IS HEADING Tarla maintenance after induction 3 FUTURE OPPORTUNITY Upfront continuous treatment Conceptual vision Induction IO + platinum/etoposide (4 cycles) Maintenance IO IO + Platinum/ etoposide + lurbi + IO maintenance for eligible non-progressors Published benchmarks1 IO + chemo (IMpower133 / CASPIAN): ORR: 60–68% mPFS: 5.1–5.2 mo mOS: 12.3–12.9 mo Grade 3/4 AEs: ~57–62% Induction durvalumab + platinum/etoposide (4 cycles) Maintenance tarla + durvalumab Durvalumab + Platinum/ etoposide Key limitations / friction Some patients progress before maintenance (20-30% patients progressed during induction)1,2 Access, site readiness and patient preference may limit uptake Zoci + IO + TCE Treat continuously until progression No separate induction / maintenance phases Potential strategic benefits Reach patients earlier Avoids attrition between induction and maintenance Chemotherapy-sparing, continuous regimen Positions zoci as a backbone ADC for next- generation combinations TCE-related CRS / neurotoxicity monitoring TRIPLET +DOUBLET Durvalumab + Tarla (TCE) + for eligible non-progressors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Amgen and BI to sponsor and lead global Phase 1b and 1b/2 studies, respectively; Zai Lab will supply study drug  Zai Lab continues to pursue additional combination approaches Zoci + DLL3 TCE: Two global studies building toward 1L triplet in SCLC and NEC Dose exploration Dose expansion 1L ES-SCLC triplet S T AG E Zoci + IMDELLTRA® (tarlatamab) DeLLphi-313 · Global Phase 1b · patients with ES-SCLC Part 1 2L+ SCLC Zoci (multiple doses) + tarlatamab Part 2 2L / 2L+ SCLC Zoci (RP2D) + tarlatamab Part 3 1L ES-SCLC Zoci (RP2D) + tarlatamab + durvalumab Zoci + obrixtamig Global Phase 1b/2 · patients with poorly differentiated NEC Part 1 Poorly differentiated NECs Zoci (multiple doses) + obrixtamig Part 2 1L ES-SCLC Zoci (RP2D) + obrixtamig + atezolizumab Amgen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Zoci: 1L SCLC Data at ESMO Expansion opportunities for zoci 3 Pivotal Trials by YE’26 for zoci 1H 2027 2H 2027 2028+2H’26 TODAY YE’26 2L+ SCLC 1L SCLC 2L+ NEC Zoci: Potential BLA submission A steady cadence of data readouts and regulatory submissions, with further expansion opportunities ahead Zoci: 2L+ SCLC (DLLEVATE) Registrational topline data Zoci: NEC Registrational topline data Note: SAD = single ascending dose; MAD = multiple ascending dose; AD = atopic dermatitis; SCLC = small cell lung cancer; epNEC = extrapulmonary neuroendocrine carcinomas Potential Global Approvals Zoci in 2L+ SCLC Zoci in 2L+ epNEC Zoci (+ IO) in 1L SCLC Zoci (+ TCE + IO) in 1L SCLC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Zai Lab. All Rights Reserved.NASDAQ:ZLAB | HKEX:9688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2023. Zai Lab. All Rights Reserved.NASDAQ:ZLAB | HKEX:9688 DLL3 ADC Zoci (ZL-1310) Additional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$9B global addressable market across SCLC and NEC by 2032 Source: EvaluatePharma. Notes: (1) Total market opportunity in 2032 with 100% POS across Limited Stage and Extensive Stage SCLC (all lines) and NEC assessed by EvaluatePharma; (2) The drug-treated population for first-line extensive-stage small cell lung cancer (1L ES-SCLC) in major markets (U.S., EU5, Japan, China) is estimated at ~200,000 in 2024, with approximately 75% of these patients relapsing and proceeding to second-line or later treatments; (3) The estimated incidence of NECs (excluding SCLC) in major markets (U.S., EU5, Japan, China). 19 1L SCLC2 ~200K First-line treatment Small Cell Lung Cancer Other NECs3 ~100K Neuroendocrine Carcinomas (excluding SCLC) patients Total Addressable Population $9+ Billion Total Addressable Market Other NECs1L SCLC 2L+ SCLC2 ~150K patients Second-line and beyond Small Cell Lung Cancer 2L+ SCLC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2023. Zai Lab. All Rights Reserved.NASDAQ:ZLAB | HKEX:9688 Zai Lab Company Overview Beyond zoci: the broader Zai Lab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invest in Zai Lab now? Two Shots at Category Leadership with Zoci and ZL-1503  Two differentiated, potential first-in-class/best-in-class assets  Zoci (DLL3 ADC) has demonstrated strong efficacy and best-in- class safety with potential to be a backbone ADC of choice in SCLC and NEC; 81.8% confirmed ORR in 1L SCLC1  ZL-1503 (IL-13/IL-31Rα) has the potential to address a gap in atopic dermatitis (dual MOA, extended dosing) in a $30B+ market Catalyst-rich Next 12 Months  Multiple data readouts upcoming (Zoci 1L SCLC at ESMO 2026, ZL-1503 SAD and MAD data, NEC registrational data)  First potential BLA submission to the FDA in 2027 1 2 Strong Financial Position  $718 million cash position as of Q2 2026  Commercially profitable business  Revenues expected to return to YoY growth in 2027 4Global R&amp;D Engine  Integrated US-China R&amp;D model delivering with speed and consistent execution  Six additional global programs with three in or entering the clinic (ZL-6201, ZL-1222, ZL-1311) 3 Sources: (1) Zhao, Jun. ESMO 2026 Poster. 81.8% cORR in 1L SCLC for zoci 1.6 mg/kg + atezolizumab. Continuously evaluating transformational opportunities to enhance shareholder value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Two lead global assets in oncology and immunology Zoci | Backbone ADC of choice for SCLC and NEC Potential First-in-Class/Best-in-Class DLL3 ADC Best-in-class safety Safety profile amenable to zoci as backbone ADC of choice ZL-1503 | Dual MOA + long-acting for AD and more Potential Best-in-Class IL-13/IL-31Rα Bispecific Dual inhibition for broad disease control Rapid itch suppression Rapid and sustained itch suppression up to 133 days in NHP3 Note: (1) Zai Lab 2025 AACR-NCI-EORTC presentation, confirmed ORR 68% at 1.6 mg/kg in 2L SCLC (n=19); median DOR 6.1 months across all doses and lines; (2) Zai Lab AACR 2026 presentation (April 2026). ORR and safety data from the 1.6 mg/kg cohort unless otherwise stated; (3) Liu L, et al. ZL-1503: A Bispecific Antibody Targeting Inflammatory and Pruritogenic Pathways with a Prolonged Serum Half-life and Sustained Activity in Non-human Primates. Poster presented at: EAACI Congress 2025; June 13, 2025; Glasgow, Scotland. Poster D1.365 (Abstract #000625). Extended dosing YTE-modified for infrequent dosing Inflammation control pSTAT6 suppression sustained preclinically Combo w/TCE and PD-(L)1 Collaborations with AMGN and BI 1 Strong efficacy in 1L, 2L+ SCLC and NEC High responses with good durability1 Differentiated activity in brain mets Robust intracranial responses, including complete responses2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Zoci: 1L SCLC Data at ESMO Additional expansion opportunities for zoci and ZL-1503 3 Pivotal Trials by YE’26 for zoci 1H 2027 2H 2027 2028+2H’26 TODAY YE’26 ZL-1503: AD SAD data in healthy volunteers 2L+ SCLC 1L SCLC 2L+ NEC Zoci: Potential BLA submission A steady cadence of data readouts and regulatory submissions, with further expansion opportunities ahead Zoci: NEC Registrational topline data ZL-1503: AD MAD data in AD patients Note: SAD = single ascending dose; MAD = multiple ascending dose; AD = atopic dermatitis; SCLC = small cell lung cancer; epNEC = extrapulmonary neuroendocrine carcinomas Potential Global Approvals Zoci in 2L+ SCLC Zoci in 2L+ epNEC Zoci (+ IO) in 1L SCLC Zoci (+ TCE + IO) in 1L SCLC ZL-1503 in atopic dermatitis 2 23 Zoci: 2L+ SCLC (DLLEVATE) Registrational topline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2022 2023 2024 2025 2026E % Global % Regional R&amp;D Spending ($) R&amp;D shifting to global programs with the highest value-creation potential Zoci (DLL3 ADC) ZL-1503 (IL-13/IL-31Rα) ZL-6201 (LRRC15 ADC) ZL-1222 (IL-12/PD-1) ZL-1311 (MUC17xCD3 TCE) % R&amp;D Spending by Global vs Regional* Key Areas of Global Pipeline Investment Over the Next 5 YearsNote: *illustrative purposes only to show trends; graph is not drawn to scale. Concentrating resources towards global programs that are driving the next wave of innovation 24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Commercially profitable; revenue expected to return to YoY growth in 2027 $106M Q2 2026 Total Revenue +11% Q2 2026 Product Revenue1, QoQ $718M Cash Position2 Return to meaningful YoY revenue growth in 2027 SG&amp;A expense as % of total revenue 0% 20% 40% 60% 80% 100% 111.9% 2H23 79.3% 1H24 70.9% 2H24 62.1% 1H25 58.7% 2H25 67.0% 1H26 62% of revenue invested in R&amp;D 1H’26 Operating DisciplineQ2 2026 Update Support continued investment in innovation and future growth Notes: (1) Q2 2026 product revenue of $105.8 million. (2) Cash and cash equivalents, short-term investments, and current restricted cash ending June 30, 2026. $718m cash position with commercial profitability, operating discipline and increased efficiencies 25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2023. Zai Lab. All Rights Reserved.NASDAQ:ZLAB | HKEX:9688 (IL-13/IL-31Rα) ZL-1503 Long-acting dual blockade in 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Clear unmet need creates opportunity for next-generation biologics in AD 204M Estimated Global AD Prevalence1 Notes: (1) AD affects 101 million adults and 103 million children worldwide (The British Journal of Dermatology 2024; 190: 55-61); (2) global AD biologics market estimates by EvaluatePharma; (3) Silverberg JI, Mohawk JA, Cirulli J, Nograles K, Punzalan JC, Kelly KM, Kim BS, Guttman-Yassky E, Lebwohl M. Burden of Disease and Unmet Needs in Atopic Dermatitis: Results From a Patient Survey. Dermatitis. 2023;34(2):135-144. Market Opportunity ZL-1503 targets both IL-13 and IL-31Rα &gt;$30B 2030 AD Biologics Market (Projected)2 Unmet Needs in Current Treatment ~50% Report severe pruritus (VAS ≥7)3 ~40% Remain inadequately controlled on current AD biologics 6-26 Injections required per year for current biologics Binds to IL-13 and prevents heterodimerization of IL13Rα1/IL-4Rα Inhibits IL-31 signaling by binding to IL-31Rα Production of proinflammatory cytokines/chemo kines X Significant unmet needs remain in AD: inadequate disease control, persistent itch and frequent dosing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ZL-1503 is a highly differentiated bispecific targeting IL-13 and IL-31Rα Improved Clinical Responses Potent inhibition of IL-13-induced STAT6 signaling (reporter cell assay) Strong lesion control (e.g. EASI, IGA) Rapid &amp; Durable Itch Control Rapid itch suppression and sustained for up to 133 days through IL-31Rα Less frequent dosing YTE-modifications to extend half-life NHP half-life of 28 days Potential Advantages of ZL-1503 Attribute Dupilumab (IL-4Ra) Nemolizumab (IL-31Ra) Lebrikizumab (IL-13) Upadacitinib (JAK) ZL-1503 (IL13/IL-31Ra)1 Lesion Control (EASI-75) Excellent (48%) Fair (42-44%) Excellent (55%) Superior (60-70%) Excellent Itch Relief Speed Fair (&gt;2 wks) Superior (Day 2) Fair Superior (Day 2) Superior Dosing Convenience Poor (Q2W) Good (Q4W-Q8W) Good (Q4W-Q8W) Good (daily oral) Superior Safety Excellent Excellent Excellent Poor (Boxed Warning) Excellent A potential best-in-class bispecific designed to reduce itch and inflammation with less frequent dosing 28Notes: (1) ZL-1503 potential profile.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First-in-Human data in 2H'26 — AD patient data in 1H'27 Population: Healthy volunteers (SAD) and atopic dermatitis patients (MAD) N~100 Q4 2026 First-in-human data from SAD portion 2027 Phase 2 initiation Key Upcoming MilestonesGlobal Phase 1/1b Trial Design Part A (SAD) Healthy volunteers, 4 dose cohorts ENROLLMENT COMPLETED Part B (MAD) Moderate-to-severe AD patients, 2 dose cohorts CURRENTLY ENROLLING 1H 2027 Initial data from MAD portion in AD patients 2028+ Potential expansion: prurigo nodularis and other Rapid execution from first-in-human dosing to AD patient data positions ZL-1503 for Phase 2 in 2027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2023. Zai Lab. All Rights Reserved.NASDAQ:ZLAB | HKEX:9688 (LRRC15 ADC) ZL-6201 Targeting tumor and stroma via LRRC15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ZL-6201: novel LRRC15-targeting ADC for sarcomas and epithelial solid tumors 31 Structure of ZL-6201 LRRC15 is Expressed in a Variety of Solid Tumors with High Unmet Need A: Humanized anti-LRRC15 IgG1 mAb B: Cleavable tripeptide-based linker C: Camptothecin derivative payload, C24 ZL-6201: anti-LRRC15 ADC developed using TMALIN® platform • Efficient payload delivery to the targeted cells with DAR=8 • Potent bystander killing mediated by the Topo-1 inhibitor payload C24  LRRC15 is a transmembrane protein overexpressed in mesenchymal tumors (sarcomas, glioblastoma, melanoma) and CAFs in epithelial tumors  Minimal normal tissue expression makes LRRC15 an attractive ADC target A B C LRRC15's broad expression across sarcomas and CAFs in epithelial tumors, combined with minimal normal tissue expression, positions it as a differentiated ADC target Abbreviations: Leucine-rich repeat-containing protein 15 (LRRC15); Cancer-associated fibroblasts (CAF). Source: Zai Lab presentation at 2026 AACR, April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ZL-6201 demonstrated potent anti-tumor activity via direct and bystander killing 32 ZL-6201 Drove Dose-dependent Tumor Growth Inhibition in LRRC15+ Bone and Soft-tissue Sarcoma PDX Models ZL-6201 Surrogate Efficacy in Non-sarcoma CDX Models is Mediated by LRRC15+ Mouse CAFs and a Strong Bystander Effect 0 7 14 21 28 0 500 1000 1500 2000 SA4109 Chondrosarcoma PDX Days post initial treatment Tu m or v ol um e (m m 3 ) Vehicle Ctrl mAb–C24 6 mg/kg ZL-6201 6 mg/kg Ctrl mAb–MMAE 6 mg/kg BM–MMAE 6 mg/kg Administration 0 7 14 21 28 0 500 1000 1500 2000 SA3840 Osteosarcoma PDX Days post initial treatment Tu m or v ol um e (m m 3 ) Vehicle Ctrl mAb–C24 3 mg/kg ZL-6201 1 mg/kg ZL-6201 3 mg/kg ZL-6201 10 mg/kg Administration 0 7 14 21 28 0 500 1000 1500 2000 SA4033 Leiomyosarcoma PDX Days post initial treatment Tu m or v ol um e (m m 3 ) Vehicle Ctrl mAb–C24 3 mg/kg ZL-6201 1 mg/kg ZL-6201 3 mg/kg ZL-6201 10 mg/kg Administration 0 7 14 21 28 35 0 500 1000 1500 2000 2500 EBC-1 NSCLC CDX Days post initial treatment Tu m or v ol um e (m m 3 ) Vehicle Ctrl mAb–C24 3 mg/kg ZL-6201 surrogate 3 mg/kg Administration 0 7 14 21 28 0 500 1000 1500 2000 2500 Detroit 562 HNSCC CDX Days post initial treatment Tu m or v ol um e (m m 3 ) Administration ZL-6201 surrogate 10 mg/kg Vehicle Ctrl mAb–C24 3 mg/kg ZL-6201 surrogate 3 mg/kg 0 7 14 21 28 35 0 500 1000 Panc 05.04 PDAC CDX Days post initial treatment Tu m or v ol um e (m m 3 ) Administration ZL-6201 Surrogate 10 mg/kg QW×2 Vehicle Ctrl mAb–C24 3 mg/kg QW×2 ZL-6201Surrogate 3 mg/kg QW×2 LRRC15 is highly expressed on the tumor cell surface of the following sarcomas: A. SA4109 chondrosarcoma PDX B. SA3840 osteosarcoma PDX derived from a 12- year-old female patient C. SA4033 leiomyosarcoma PDX In non-sarcoma solid tumor CDX models NSCLC EBC-1 D. HNSCC Detroit 562 E. and pancreatic cancer Panc 05.04 F. while tumor cells exhibit minimal LRRC15 surface expression, it is highly expressed on the surface of stromal cells from CAFs To investigate the anti-tumor effect, a rodent cross- reactive surrogate ADC was employed A B C D E F Topline results from dose escalation portion of Phase 1 expected in 1H’27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2023. Zai Lab. All Rights Reserved.NASDAQ:ZLAB | HKEX:9688 Other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ZL-1311 and ZL-1222: Two additional novel mechanisms advancing to the clinic • PD-1 targeting, next-generation IL-12 immunocytokine • PD-1 targeting enhances the antitumor activity • Potency-reduced IL-12 improves safety profile potentially by reducing NK cell activation Key Next Steps  Submit an IND application in the U.S. and initiate a global Phase 1 study in 2027 ZL-1222 (PD-1/IL-12) B: Silent IgG1 Fc with half-life extension modification Key Next Steps Source: 2025 AACR, 2026 AACR, Zai Lab posters. A MUC17-targeted TCE and an engineered PD-1/IL-12 cytokine, each designed to improve on first-generation approaches 34 • MUC17 overexpressed in more than 50% of GC/GEJ patients • Strong anti-tumor properties • Minimal cytokine release syndrome Key Next Steps  Submit an IND application in the U.S. by YE’26 and initiate a global Phase 1 study in 1H’27 ZL-1311 (MUC17/CD3) Key Next Steps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2023. Zai Lab. All Rights Reserved.NASDAQ:ZLAB | HKEX:9688 China regional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Potential Near-Term Launches Indications PoC Pivotal Regulatory Next Update Market Opportunity in China2 OMG Potential Submission 44k Myositis Potential Submission 170k Povetacicept IgAN Potential Submission 3-5m patients; &gt;750k diagnosed with biopsy pMN Accelerate Enrollment (20261) </w:t>
      </w:r>
      <w:r>
        <w:rPr>
          <w:color w:val="FFFFFF"/>
          <w:sz w:val="2"/>
        </w:rPr>
        <w:t>～</w:t>
      </w:r>
      <w:r>
        <w:rPr>
          <w:color w:val="FFFFFF"/>
          <w:sz w:val="2"/>
        </w:rPr>
        <w:t>2mn Elegrobart Thyroid Eye Disease Complete Enrollment in China (3Q’26) 2-3m patients; 760k moderate-to-severe Cervical Cancer Commercial Launch (2027) 110k Positive Phase 3 results Positive interim results Approved in Jun’26 Positive Phase 3 results Key Commercial Products Key near-term regional launches to drive steady growth Strongly Positioned to Leverage the Evolving China Market  Increasing transparency and predictability in NRDL adjustments  Expansion of supplemental health insurance  Pilot launch of “National Commercial Health Insurance Innovative Drug List”3  Biopharmaceutical industry designated as a pillar industry4  Optimize formation mechanism for drug prices5 Positive readouts in TED Notes: (1) Zai Lab partner Vertex has completed enrollment in the Phase 2 portion of the global pivotal Phase 2/3 OLYMPUS study and has initiated the Phase 3 portion. Zai Lab participated in the global study in Greater China; (2) Zai Lab analysis and market research; (3) first introduction in 2025 and effective from Jan 1st, 2026; (4) China‘s 15th Five-Year Plan (2026–2030), a national socioeconomic development blueprint guiding policy priorities and industrial strategy across a five-year cycle; (5) The State Council Office issued Document No. 9, "Several Opinions of the General Office of the State Council on Improving the Drug Pricing Formation Mechanism" (</w:t>
      </w:r>
      <w:r>
        <w:rPr>
          <w:color w:val="FFFFFF"/>
          <w:sz w:val="2"/>
        </w:rPr>
        <w:t>国办发〔</w:t>
      </w:r>
      <w:r>
        <w:rPr>
          <w:color w:val="FFFFFF"/>
          <w:sz w:val="2"/>
        </w:rPr>
        <w:t>2026</w:t>
      </w:r>
      <w:r>
        <w:rPr>
          <w:color w:val="FFFFFF"/>
          <w:sz w:val="2"/>
        </w:rPr>
        <w:t>〕</w:t>
      </w:r>
      <w:r>
        <w:rPr>
          <w:color w:val="FFFFFF"/>
          <w:sz w:val="2"/>
        </w:rPr>
        <w:t>9</w:t>
      </w:r>
      <w:r>
        <w:rPr>
          <w:color w:val="FFFFFF"/>
          <w:sz w:val="2"/>
        </w:rPr>
        <w:t>号</w:t>
      </w:r>
      <w:r>
        <w:rPr>
          <w:color w:val="FFFFFF"/>
          <w:sz w:val="2"/>
        </w:rPr>
        <w:t xml:space="preserve">) issued in April 2026. In the case of high-level innovative drugs with a high degree of innovation and significant clinical value, their prices at the early stage of market entry should reflect the high R&amp;D investment and high risk involved, and remain relatively stable for a certain period of time, according to the guidelines.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broadening global oncology and immunology pipeline with a steady cadence of data readouts 37Note: (1) Amgen sponsors and leads global Phase 1b study; Zai Lab supplies study drug. (2) BI sponsors and leads global Phase 1b/2 study; Zai Lab supplies study drug. Programs (Target) Indication IND- enabling Ph 1 PoC Reg/ Ph 3 Status / Next Update Zoci (DLL3 ADC) Zoci 2L+ SCLC ● Data (interim analysis) 2H’27 Zoci + PD-(L)1 1L SCLC ● Data presented at ESMO; Phase 3 in planning Zoci + tarlatamab (TCE)1 ± PD-L1 1L+ SCLC ● Phase 1b ongoing Zoci + obrixtamig (TCE)2 ± PD-L1 SCLC &amp; epNEC ● Phase 1b/2 initiating in 2H’26 Zoci epNEC ● Data (registrational study) 1H’27 ZL-6201 (LRRC15 ADC) ZL-6201 Sarcoma and others ● Data (PoC) 1H’27 ZL-1222 (PD-1/IL-12) ZL-1222 Solid tumors ● Phase 1 initiating in 2027 ZL-1311 (MUC17/CD3 TCE) ZL-1311 Solid tumors ● Phase 1 initiating in 1H’27 ZL-6202 (undisclosed) ZL-6202 Solid tumors Candidate selection ZL-1223 (undisclosed) ZL-1223 Solid tumors Candidate selection ZL-1503 (IL-13/IL-31Rα) ZL-1503 Mod-to-Sev AD ● Data (SAD, healthy volunteers) Q4’26 Data (MAD, atopic dermatitis) 1H’27 ZL-1505 (undisclosed) ZL-1505 Immunology diseases Candidate selection O nc ol og y Im m un ol og 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of patients medication before 18 months Cobenfy – First novel mechanism in schizophrenia in 70+ years First National-Level Consensus Targeting Negative Symptoms to Cite X/T Evidence Unmet Needs in Schizophrenia Care in China 8Mn Adult patients with schizophrenia1 &gt;70yrs No other novel agents approved Inclusion in China Schizophrenia Guidelines Key 2026 Priorities of patients discontinue treatment in 18 mos3 of patients had negative symptoms which are poorly controlled2 ~75% NMPA Approval Efficient approach for launch in a concentrated market Commercial efforts to accelerate Awareness, Adoption, and Access Prepare for 2027 NRDL listing and accelerate local manufacturing First inclusion of Cobenfy in national treatment guidelines globally No black-box warning Achievements Inclusion in Chinese Expert Consensus on Management of Negative Symptoms First national-level consensus targeting negative symptoms to cite Cobenfy evidence Abbreviation: National Medical Products Administration (NMPA). Notes: (1) Prevalence of mental disorders in China: a cross-sectional epidemiological study. The Lancet Psychiatry, 2019; (2) Zai Lab Schizophrenia 2025 Market Research study; (3) China schizophrenia treatment guideline (version 2), May 2015. &gt;70%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steady, commercially profitable business now powering global innovation 2020 2025 2028+ $460m* China Revenue 8 Commercial products (China) Commercially Profitable  Established in-licensing leadership  A scalable China commercial engine  Strong R&amp;D capabilities with MNC standards  Dual gateway partner of choice  Commercial profitability reached  Mature global R&amp;D capabilities; Zoci now in pivotal stage Strengthened the China Platform Commercial Profitability &amp; Mature Global R&amp;D Capabilities Global Approvals &amp; Geographical Revenue Mix 0% Ex-China Revenues $49m China Revenue 0% Ex-China Revenues 4 Commercial products (China) Commercial Loss Note: * Zai Lab total revenue for the full year 2025 as updated in the fourth quarter 2025 earnings release. 2014 Founded as a Gateway to China Potential Key Global Product Approvals Zoci in 2L+ SCLC Zoci in 2L+ epNEC Zoci (+ IO) in 1L SCLC Zoci (+ TCE + IO) in 1L SCLC ZL-1503 in atopic dermatitis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Abbreviations BLA Biologics License Application CAF Cancer-associated fibroblast CR Complete response DAR Drug-to-antibody ratio DLL3 Delta-like ligand 3 DoR Duration of response EP Etoposide and platinum epNEC Extrapulmonary neuroendocrine carcinoma ES-SCLC Extensive-stage small cell lung cancer GC Gastric cancer GEJ Gastroesophageal junction Ig Immunoglobulin IgAN Immunoglobulin A nephropathy ILD Interstitial lung disease IO Immuno-oncology LCNEC Large cell neuroendocrine carcinoma LRRC15 Leucine-rich repeat-containing protein 15 LS-SCLC Limited-stage small cell lung cancer mAb Monoclonal antibody MAD Multiple ascending dose MOA Mechanism of action NEC Neuroendocrine carcinoma OMG Ocular myasthenia gravis ORR Objective response rate pMN Primary membranous nephropathy PS Performance status Q3W Once every 3 weeks SAD Single ascending dose SCLC Small cell lung cancer TME Tumor microenvironment TRAE Treatment-related adverse event 40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99.2</w:t>
      </w:r>
    </w:p>
    <w:p>
      <w:pPr>
        <w:pStyle w:val="TextBody"/>
        <w:bidi w:val="0"/>
        <w:spacing w:before="0" w:after="0"/>
        <w:jc w:val="left"/>
        <w:rPr/>
      </w:pPr>
      <w:r>
        <w:rPr/>
      </w:r>
    </w:p>
    <w:p>
      <w:pPr>
        <w:pStyle w:val="TextBody"/>
        <w:bidi w:val="0"/>
        <w:spacing w:lineRule="auto" w:line="333" w:before="0" w:after="160"/>
        <w:jc w:val="center"/>
        <w:rPr>
          <w:rFonts w:ascii="Times New Roman;serif" w:hAnsi="Times New Roman;serif"/>
          <w:b/>
          <w:color w:val="000000"/>
          <w:sz w:val="24"/>
        </w:rPr>
      </w:pPr>
      <w:r>
        <w:rPr>
          <w:rFonts w:ascii="Times New Roman;serif" w:hAnsi="Times New Roman;serif"/>
          <w:b/>
          <w:color w:val="000000"/>
          <w:sz w:val="24"/>
        </w:rPr>
        <w:t>Zai Lab Announces $250 Million Private Placement</w:t>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SHANGHAI &amp; CAMBRIDGE, Mass.--(BUSINESS WIRE)--Oct. 22, 2026--Zai Lab Limited (NASDAQ: ZLAB; HKEX: 9688) an innovation-driven, global biopharma company, today announced that it has entered into a securities purchase agreement for the sale of 11,340,000 American Depositary Shares (“ADSs”), each representing ten ordinary shares of the Company, to certain investors in a private investment in public equity (“PIPE”) financing. The purchase price of each ADS is $22.04. Gross proceeds from the PIPE financing are expected to be approximately $250 million, before deducting placement agent fees and other offering expenses. The PIPE financing is expected to close on or about October 27, 2026, subject to customary closing conditions.</w:t>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The financing is led by TCGX and includes participation from other new and existing investors including abrdn World Healthcare Fund, ADAR1 Capital Management, Balyasny Asset Management, Cormorant Asset Management, Frazier Life Sciences, RA Capital Management, RTW Investments, Sirenia Capital Management LP, Wellington Management, and Woodline Partners LP.</w:t>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Zai Lab intends to use the net proceeds from the PIPE financing primarily to support the continued global development of zocilurtatug pelitecan (zoci), the Company's Delta-like ligand 3 (DLL3)-targeting antibody-drug conjugate (ADC). </w:t>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Leerink Partners is acting as exclusive placement agent for the PIPE financing. Ropes &amp; Gray is acting as legal advisor to Zai Lab.</w:t>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The sale and issuance of the foregoing ADSs are being made in a transaction not involving a public offering and have not been registered under the Securities Act of 1933, as amended (the “Securities Act”). The ADSs being issued in the PIPE may not be offered or sold in the United States absent registration or pursuant to an exemption from the registration requirements of the Securities Act and applicable state securities laws. The Company has agreed to file a registration statement with the Securities and Exchange Commission covering the resale of the ADSs acquired by the investors in the Private Placement.</w:t>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This press release shall not constitute an offer to sell or the solicitation of an offer to buy any securities, nor shall there be any sale of securities in any state or jurisdiction in which such an offer, solicitation or sale would be unlawful prior to registration or qualification under the securities laws of any such state or jurisdiction.</w:t>
      </w:r>
    </w:p>
    <w:p>
      <w:pPr>
        <w:pStyle w:val="TextBody"/>
        <w:bidi w:val="0"/>
        <w:spacing w:lineRule="auto" w:line="333" w:before="0" w:after="160"/>
        <w:jc w:val="left"/>
        <w:rPr>
          <w:rFonts w:ascii="Times New Roman;serif" w:hAnsi="Times New Roman;serif"/>
          <w:b/>
          <w:color w:val="000000"/>
          <w:sz w:val="24"/>
        </w:rPr>
      </w:pPr>
      <w:r>
        <w:rPr>
          <w:rFonts w:ascii="Times New Roman;serif" w:hAnsi="Times New Roman;serif"/>
          <w:b/>
          <w:color w:val="000000"/>
          <w:sz w:val="24"/>
        </w:rPr>
        <w:t>About Zai Lab</w:t>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Zai Lab Limited (NASDAQ: ZLAB; HKEX: 9688) is an innovative, research-based, commercial-stage biopharmaceutical company based in China and the United States. We are focused on discovering, developing, and commercializing innovative products that address </w:t>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medical conditions with significant unmet needs in the areas of oncology, immunology, neuroscience, and infectious disease. Our goal is to leverage our competencies and resources to positively impact human health. </w:t>
      </w:r>
    </w:p>
    <w:p>
      <w:pPr>
        <w:pStyle w:val="TextBody"/>
        <w:bidi w:val="0"/>
        <w:spacing w:lineRule="auto" w:line="333" w:before="0" w:after="160"/>
        <w:jc w:val="left"/>
        <w:rPr>
          <w:rFonts w:ascii="Times New Roman;serif" w:hAnsi="Times New Roman;serif"/>
          <w:b/>
          <w:color w:val="000000"/>
          <w:sz w:val="24"/>
        </w:rPr>
      </w:pPr>
      <w:r>
        <w:rPr>
          <w:rFonts w:ascii="Times New Roman;serif" w:hAnsi="Times New Roman;serif"/>
          <w:b/>
          <w:color w:val="000000"/>
          <w:sz w:val="24"/>
        </w:rPr>
        <w:t>Zai Lab Forward-Looking Statements</w:t>
      </w:r>
    </w:p>
    <w:p>
      <w:pPr>
        <w:pStyle w:val="TextBody"/>
        <w:bidi w:val="0"/>
        <w:spacing w:lineRule="auto" w:line="333" w:before="0" w:after="160"/>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relating to our future expectations, plans, and prospects, for Zai Lab, including, without limitation, statements relating to our prospects and plans for developing and commercializing zoci and related timing, the potential treatment of extensive-stage small cell lung cancer (ES-SCLC), our ability to successfully complete the PIPE indicated and with terms and conditions satisfactory to us, the expected closing of the PIPE and the expected use of proceeds from the PIPE. All statements, other than statements of historical fact, included in this press release are forward-looking statements, and can be identified by words such as “aim,” “anticipate,” “believe,” “could,” “estimate,” “expect,” “forecast,” “goal,” “intend,” “may,” “plan,” “possible,” “potential,” “will,” “would,” and other similar expressions. Such statements constitute forward-looking statements within the meaning of the Private Securities Litigation Reform Act of 1995 and U.S. federal securities laws. There can be no assurance that we will be able to complete the PIPE on the anticipated terms, or at all. Forward-looking statements are not guarantees or assurances of future performance. Forward-looking statements are based on our expectations and assumptions as of the date of this press release and are subject to inherent uncertainties, risks and changes in circumstances that may differ materially from those contemplated by the forward-looking statements. We may not actually achieve the plans, carry out the intentions or meet the expectations or projections disclosed in our forward-looking statements, and you should not place undue reliance on these forward-looking statements. Actual results may differ materially from those indicated by forward-looking statements as a result of various important factors, including but not limited to (1) our ability to successfully commercialize and generate revenue from our approved products, (2) our ability to obtain funding for our operations and business initiatives, (3) the results of our clinical and pre-clinical development of our product candidates, (4) the content and timing of decisions made by the relevant regulatory authorities regarding regulatory approvals of our product candidates, (5) risks related to doing business in China, and (6) other factors identified in our most recent annual and quarterly reports and in other reports we have filed with the U.S. Securities and Exchange Commission (SEC).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These forward-looking statements should not be relied upon as representing our views as of any date subsequent to the date of this press release.</w:t>
      </w:r>
    </w:p>
    <w:p>
      <w:pPr>
        <w:pStyle w:val="TextBody"/>
        <w:bidi w:val="0"/>
        <w:spacing w:before="0" w:after="160"/>
        <w:jc w:val="left"/>
        <w:rPr/>
      </w:pPr>
      <w:r>
        <w:rPr/>
      </w: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View source version on businesswire.com: https://www.businesswire.com/news/home/20261022292690/en/</w:t>
      </w:r>
    </w:p>
    <w:p>
      <w:pPr>
        <w:pStyle w:val="TextBody"/>
        <w:bidi w:val="0"/>
        <w:spacing w:lineRule="auto" w:line="333" w:before="0" w:after="160"/>
        <w:jc w:val="left"/>
        <w:rPr>
          <w:rFonts w:ascii="Times New Roman;serif" w:hAnsi="Times New Roman;serif"/>
          <w:b/>
          <w:color w:val="000000"/>
          <w:sz w:val="24"/>
        </w:rPr>
      </w:pPr>
      <w:r>
        <w:rPr>
          <w:rFonts w:ascii="Times New Roman;serif" w:hAnsi="Times New Roman;serif"/>
          <w:b/>
          <w:color w:val="000000"/>
          <w:sz w:val="24"/>
        </w:rPr>
        <w:t>For more information, please contact:</w:t>
      </w:r>
    </w:p>
    <w:p>
      <w:pPr>
        <w:pStyle w:val="TextBody"/>
        <w:bidi w:val="0"/>
        <w:spacing w:lineRule="auto" w:line="333" w:before="0" w:after="160"/>
        <w:jc w:val="left"/>
        <w:rPr/>
      </w:pPr>
      <w:r>
        <w:rPr>
          <w:rFonts w:ascii="Times New Roman;serif" w:hAnsi="Times New Roman;serif"/>
          <w:b/>
          <w:color w:val="000000"/>
          <w:sz w:val="24"/>
        </w:rPr>
        <w:t>Investor Relations:</w:t>
      </w:r>
      <w:r>
        <w:rPr>
          <w:rFonts w:ascii="Times New Roman;serif" w:hAnsi="Times New Roman;serif"/>
          <w:b w:val="false"/>
          <w:color w:val="000000"/>
          <w:sz w:val="24"/>
        </w:rPr>
        <w:br/>
        <w:t>Christine Chiou / Cyan Liu</w:t>
        <w:br/>
        <w:t>+1 (917) 886-6929 / +86 195 3130 8895</w:t>
        <w:br/>
      </w:r>
      <w:r>
        <w:rPr>
          <w:rFonts w:ascii="Times New Roman;serif" w:hAnsi="Times New Roman;serif"/>
          <w:b w:val="false"/>
          <w:color w:val="0000FF"/>
          <w:sz w:val="24"/>
          <w:u w:val="single"/>
          <w:shd w:fill="FFFFFF" w:val="clear"/>
        </w:rPr>
        <w:t>christine.chiou1@zailaboratory.com</w:t>
      </w:r>
      <w:r>
        <w:rPr>
          <w:color w:val="000000"/>
          <w:shd w:fill="FFFFFF" w:val="clear"/>
        </w:rPr>
        <w:t xml:space="preserve"> </w:t>
      </w:r>
      <w:r>
        <w:rPr>
          <w:rFonts w:ascii="Times New Roman;serif" w:hAnsi="Times New Roman;serif"/>
          <w:b w:val="false"/>
          <w:color w:val="000000"/>
          <w:sz w:val="24"/>
          <w:shd w:fill="FFFFFF" w:val="clear"/>
        </w:rPr>
        <w:t xml:space="preserve">/ </w:t>
      </w:r>
      <w:r>
        <w:rPr>
          <w:rFonts w:ascii="Times New Roman;serif" w:hAnsi="Times New Roman;serif"/>
          <w:b w:val="false"/>
          <w:color w:val="0000FF"/>
          <w:sz w:val="24"/>
          <w:u w:val="single"/>
          <w:shd w:fill="FFFFFF" w:val="clear"/>
        </w:rPr>
        <w:t>cyan.liu@zailaboratory.com</w:t>
      </w:r>
      <w:r>
        <w:rPr>
          <w:rFonts w:ascii="Times New Roman;serif" w:hAnsi="Times New Roman;serif"/>
          <w:b w:val="false"/>
          <w:color w:val="000000"/>
          <w:sz w:val="24"/>
        </w:rPr>
        <w:br/>
        <w:br/>
      </w:r>
      <w:r>
        <w:rPr>
          <w:rFonts w:ascii="Times New Roman;serif" w:hAnsi="Times New Roman;serif"/>
          <w:b/>
          <w:color w:val="000000"/>
          <w:sz w:val="24"/>
        </w:rPr>
        <w:t>Media:</w:t>
      </w:r>
      <w:r>
        <w:rPr>
          <w:rFonts w:ascii="Times New Roman;serif" w:hAnsi="Times New Roman;serif"/>
          <w:b w:val="false"/>
          <w:color w:val="000000"/>
          <w:sz w:val="24"/>
        </w:rPr>
        <w:br/>
        <w:t>Shaun Maccoun / Xiaoyu Chen</w:t>
        <w:br/>
        <w:t>+1 (857) 270-8854 / +86 185 0015 5011</w:t>
        <w:br/>
      </w:r>
      <w:r>
        <w:rPr>
          <w:rFonts w:ascii="Times New Roman;serif" w:hAnsi="Times New Roman;serif"/>
          <w:b w:val="false"/>
          <w:color w:val="0000FF"/>
          <w:sz w:val="24"/>
          <w:u w:val="single"/>
          <w:shd w:fill="FFFFFF" w:val="clear"/>
        </w:rPr>
        <w:t>shaun.maccoun@zailaboratory.com</w:t>
      </w:r>
      <w:r>
        <w:rPr>
          <w:color w:val="000000"/>
          <w:shd w:fill="FFFFFF" w:val="clear"/>
        </w:rPr>
        <w:t xml:space="preserve"> </w:t>
      </w:r>
      <w:r>
        <w:rPr>
          <w:rFonts w:ascii="Aptos;sans-serif" w:hAnsi="Aptos;sans-serif"/>
          <w:b w:val="false"/>
          <w:color w:val="000000"/>
          <w:sz w:val="24"/>
          <w:shd w:fill="FFFFFF" w:val="clear"/>
        </w:rPr>
        <w:t xml:space="preserve">/ </w:t>
      </w:r>
      <w:r>
        <w:rPr>
          <w:rFonts w:ascii="Times New Roman;serif" w:hAnsi="Times New Roman;serif"/>
          <w:b w:val="false"/>
          <w:color w:val="0000FF"/>
          <w:sz w:val="24"/>
          <w:u w:val="single"/>
          <w:shd w:fill="FFFFFF" w:val="clear"/>
        </w:rPr>
        <w:t>xiaoyu.chen@zailaboratory.com</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38715</Words>
  <Characters>208099</Characters>
  <CharactersWithSpaces>246836</CharactersWithSpaces>
  <Paragraphs>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corporatedeck_vfinal4</dc:title>
</cp:coreProperties>
</file>